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A0" w:rsidRPr="00277114" w:rsidRDefault="00F97BA0" w:rsidP="00F97BA0">
      <w:pPr>
        <w:pStyle w:val="Heading8"/>
        <w:rPr>
          <w:rFonts w:asciiTheme="minorHAnsi" w:hAnsiTheme="minorHAnsi" w:cstheme="minorHAnsi"/>
          <w:sz w:val="22"/>
          <w:szCs w:val="22"/>
        </w:rPr>
      </w:pPr>
      <w:bookmarkStart w:id="0" w:name="_GoBack"/>
      <w:bookmarkEnd w:id="0"/>
      <w:r w:rsidRPr="00277114">
        <w:rPr>
          <w:rFonts w:asciiTheme="minorHAnsi" w:hAnsiTheme="minorHAnsi" w:cstheme="minorHAnsi"/>
          <w:sz w:val="22"/>
          <w:szCs w:val="22"/>
        </w:rPr>
        <w:t>Van Buren</w:t>
      </w:r>
    </w:p>
    <w:p w:rsidR="00F97BA0" w:rsidRPr="00277114" w:rsidRDefault="00F97BA0" w:rsidP="00F97BA0">
      <w:pPr>
        <w:spacing w:line="240" w:lineRule="auto"/>
        <w:jc w:val="center"/>
        <w:rPr>
          <w:rFonts w:cstheme="minorHAnsi"/>
          <w:b/>
        </w:rPr>
      </w:pPr>
      <w:r w:rsidRPr="00277114">
        <w:rPr>
          <w:rFonts w:cstheme="minorHAnsi"/>
          <w:b/>
        </w:rPr>
        <w:t>Community Mental Health Authority</w:t>
      </w:r>
    </w:p>
    <w:p w:rsidR="00F97BA0" w:rsidRPr="00277114" w:rsidRDefault="00F97BA0" w:rsidP="00F97BA0">
      <w:pPr>
        <w:spacing w:line="240" w:lineRule="auto"/>
        <w:jc w:val="center"/>
        <w:rPr>
          <w:rFonts w:cstheme="minorHAnsi"/>
          <w:b/>
        </w:rPr>
      </w:pPr>
      <w:r w:rsidRPr="00277114">
        <w:rPr>
          <w:rFonts w:cstheme="minorHAnsi"/>
          <w:b/>
        </w:rPr>
        <w:t>Ends Monitoring Report</w:t>
      </w:r>
    </w:p>
    <w:p w:rsidR="00F97BA0" w:rsidRPr="00277114" w:rsidRDefault="00C150CE" w:rsidP="00F97BA0">
      <w:pPr>
        <w:spacing w:line="240" w:lineRule="auto"/>
        <w:jc w:val="center"/>
        <w:rPr>
          <w:rFonts w:cstheme="minorHAnsi"/>
          <w:b/>
        </w:rPr>
      </w:pPr>
      <w:r>
        <w:rPr>
          <w:rFonts w:cstheme="minorHAnsi"/>
          <w:b/>
        </w:rPr>
        <w:t>February 2018</w:t>
      </w:r>
    </w:p>
    <w:p w:rsidR="00F97BA0" w:rsidRPr="00277114" w:rsidRDefault="00F97BA0" w:rsidP="00F97BA0">
      <w:pPr>
        <w:spacing w:line="240" w:lineRule="auto"/>
        <w:rPr>
          <w:rFonts w:cstheme="minorHAnsi"/>
          <w:b/>
          <w:sz w:val="21"/>
          <w:szCs w:val="21"/>
        </w:rPr>
      </w:pPr>
      <w:r w:rsidRPr="00277114">
        <w:rPr>
          <w:rFonts w:cstheme="minorHAnsi"/>
          <w:b/>
          <w:sz w:val="21"/>
          <w:szCs w:val="21"/>
          <w:u w:val="single"/>
        </w:rPr>
        <w:t>SUBJECT</w:t>
      </w:r>
      <w:r w:rsidRPr="00277114">
        <w:rPr>
          <w:rFonts w:cstheme="minorHAnsi"/>
          <w:b/>
          <w:sz w:val="21"/>
          <w:szCs w:val="21"/>
        </w:rPr>
        <w:t>:   Children with Developmental Disabilities &amp; Serious Emotional Disturbances</w:t>
      </w:r>
    </w:p>
    <w:p w:rsidR="00F97BA0" w:rsidRPr="00277114" w:rsidRDefault="00F97BA0" w:rsidP="00F97BA0">
      <w:pPr>
        <w:spacing w:line="240" w:lineRule="auto"/>
        <w:outlineLvl w:val="0"/>
        <w:rPr>
          <w:rFonts w:cstheme="minorHAnsi"/>
          <w:sz w:val="21"/>
          <w:szCs w:val="21"/>
        </w:rPr>
      </w:pPr>
      <w:r w:rsidRPr="00277114">
        <w:rPr>
          <w:rFonts w:cstheme="minorHAnsi"/>
          <w:b/>
          <w:sz w:val="21"/>
          <w:szCs w:val="21"/>
          <w:u w:val="single"/>
        </w:rPr>
        <w:t>POLICY</w:t>
      </w:r>
      <w:r w:rsidRPr="00277114">
        <w:rPr>
          <w:rFonts w:cstheme="minorHAnsi"/>
          <w:b/>
          <w:sz w:val="21"/>
          <w:szCs w:val="21"/>
        </w:rPr>
        <w:t>:</w:t>
      </w:r>
      <w:r w:rsidRPr="00277114">
        <w:rPr>
          <w:rFonts w:cstheme="minorHAnsi"/>
          <w:sz w:val="21"/>
          <w:szCs w:val="21"/>
        </w:rPr>
        <w:t xml:space="preserve"> </w:t>
      </w:r>
      <w:r w:rsidRPr="00277114">
        <w:rPr>
          <w:rFonts w:cstheme="minorHAnsi"/>
          <w:b/>
          <w:sz w:val="21"/>
          <w:szCs w:val="21"/>
        </w:rPr>
        <w:t>There will be improved functioning in children and their families whose functioning is impaired by developmental disability or a mental/emotional condition.</w:t>
      </w:r>
    </w:p>
    <w:p w:rsidR="00F97BA0" w:rsidRPr="00277114" w:rsidRDefault="00F97BA0" w:rsidP="00F97BA0">
      <w:pPr>
        <w:spacing w:line="240" w:lineRule="auto"/>
        <w:rPr>
          <w:rFonts w:cstheme="minorHAnsi"/>
          <w:b/>
          <w:sz w:val="21"/>
          <w:szCs w:val="21"/>
        </w:rPr>
      </w:pPr>
      <w:r w:rsidRPr="00277114">
        <w:rPr>
          <w:rFonts w:cstheme="minorHAnsi"/>
          <w:b/>
          <w:sz w:val="21"/>
          <w:szCs w:val="21"/>
        </w:rPr>
        <w:t xml:space="preserve">      For children there will be improvement in their:</w:t>
      </w:r>
    </w:p>
    <w:p w:rsidR="00F97BA0" w:rsidRPr="00277114" w:rsidRDefault="00F97BA0" w:rsidP="00F97BA0">
      <w:pPr>
        <w:numPr>
          <w:ilvl w:val="0"/>
          <w:numId w:val="1"/>
        </w:numPr>
        <w:spacing w:after="0" w:line="240" w:lineRule="auto"/>
        <w:rPr>
          <w:rFonts w:cstheme="minorHAnsi"/>
          <w:b/>
          <w:sz w:val="21"/>
          <w:szCs w:val="21"/>
        </w:rPr>
      </w:pPr>
      <w:r w:rsidRPr="00277114">
        <w:rPr>
          <w:rFonts w:cstheme="minorHAnsi"/>
          <w:b/>
          <w:sz w:val="21"/>
          <w:szCs w:val="21"/>
        </w:rPr>
        <w:t>Functioning</w:t>
      </w:r>
    </w:p>
    <w:p w:rsidR="00F97BA0" w:rsidRPr="00277114" w:rsidRDefault="00F97BA0" w:rsidP="00F97BA0">
      <w:pPr>
        <w:numPr>
          <w:ilvl w:val="0"/>
          <w:numId w:val="1"/>
        </w:numPr>
        <w:spacing w:after="0" w:line="240" w:lineRule="auto"/>
        <w:rPr>
          <w:rFonts w:cstheme="minorHAnsi"/>
          <w:b/>
          <w:sz w:val="21"/>
          <w:szCs w:val="21"/>
        </w:rPr>
      </w:pPr>
      <w:r w:rsidRPr="00277114">
        <w:rPr>
          <w:rFonts w:cstheme="minorHAnsi"/>
          <w:b/>
          <w:sz w:val="21"/>
          <w:szCs w:val="21"/>
        </w:rPr>
        <w:t>School performance</w:t>
      </w:r>
    </w:p>
    <w:p w:rsidR="00F97BA0" w:rsidRPr="00277114" w:rsidRDefault="00F97BA0" w:rsidP="00F97BA0">
      <w:pPr>
        <w:numPr>
          <w:ilvl w:val="0"/>
          <w:numId w:val="1"/>
        </w:numPr>
        <w:spacing w:after="0" w:line="240" w:lineRule="auto"/>
        <w:rPr>
          <w:rFonts w:cstheme="minorHAnsi"/>
          <w:b/>
          <w:sz w:val="21"/>
          <w:szCs w:val="21"/>
        </w:rPr>
      </w:pPr>
      <w:r w:rsidRPr="00277114">
        <w:rPr>
          <w:rFonts w:cstheme="minorHAnsi"/>
          <w:b/>
          <w:sz w:val="21"/>
          <w:szCs w:val="21"/>
        </w:rPr>
        <w:t>Participation in their community</w:t>
      </w:r>
    </w:p>
    <w:p w:rsidR="00F97BA0" w:rsidRPr="00277114" w:rsidRDefault="00F97BA0" w:rsidP="00F97BA0">
      <w:pPr>
        <w:numPr>
          <w:ilvl w:val="0"/>
          <w:numId w:val="1"/>
        </w:numPr>
        <w:spacing w:after="0" w:line="240" w:lineRule="auto"/>
        <w:rPr>
          <w:rFonts w:cstheme="minorHAnsi"/>
          <w:b/>
          <w:sz w:val="21"/>
          <w:szCs w:val="21"/>
        </w:rPr>
      </w:pPr>
      <w:r w:rsidRPr="00277114">
        <w:rPr>
          <w:rFonts w:cstheme="minorHAnsi"/>
          <w:b/>
          <w:sz w:val="21"/>
          <w:szCs w:val="21"/>
        </w:rPr>
        <w:t>Overall family functioning</w:t>
      </w:r>
    </w:p>
    <w:p w:rsidR="00F97BA0" w:rsidRPr="0080547F" w:rsidRDefault="00F97BA0" w:rsidP="00F97BA0">
      <w:pPr>
        <w:spacing w:line="240" w:lineRule="auto"/>
        <w:rPr>
          <w:rFonts w:cstheme="minorHAnsi"/>
          <w:color w:val="0000FF"/>
        </w:rPr>
      </w:pPr>
      <w:r w:rsidRPr="0080547F">
        <w:rPr>
          <w:rFonts w:cstheme="minorHAnsi"/>
          <w:color w:val="0000FF"/>
        </w:rPr>
        <w:t>This is the</w:t>
      </w:r>
      <w:r w:rsidR="007C1485">
        <w:rPr>
          <w:rFonts w:cstheme="minorHAnsi"/>
          <w:color w:val="0000FF"/>
        </w:rPr>
        <w:t xml:space="preserve"> ninth</w:t>
      </w:r>
      <w:r w:rsidR="005133CE" w:rsidRPr="0080547F">
        <w:rPr>
          <w:rFonts w:cstheme="minorHAnsi"/>
          <w:color w:val="0000FF"/>
        </w:rPr>
        <w:t xml:space="preserve"> </w:t>
      </w:r>
      <w:r w:rsidRPr="0080547F">
        <w:rPr>
          <w:rFonts w:cstheme="minorHAnsi"/>
          <w:color w:val="0000FF"/>
        </w:rPr>
        <w:t>year of monitoring reports on the Children’s End cited above and the interpretation of the end cited below.</w:t>
      </w:r>
    </w:p>
    <w:p w:rsidR="00F97BA0" w:rsidRPr="0080547F" w:rsidRDefault="00F97BA0" w:rsidP="00F97BA0">
      <w:pPr>
        <w:spacing w:line="240" w:lineRule="auto"/>
        <w:rPr>
          <w:rFonts w:cstheme="minorHAnsi"/>
          <w:color w:val="0000FF"/>
        </w:rPr>
      </w:pPr>
      <w:r w:rsidRPr="0080547F">
        <w:rPr>
          <w:rFonts w:cstheme="minorHAnsi"/>
          <w:color w:val="0000FF"/>
        </w:rPr>
        <w:t xml:space="preserve">The current report provides data </w:t>
      </w:r>
      <w:r w:rsidR="007C1485">
        <w:rPr>
          <w:rFonts w:cstheme="minorHAnsi"/>
          <w:color w:val="0000FF"/>
        </w:rPr>
        <w:t>collected by S</w:t>
      </w:r>
      <w:r w:rsidR="00064639">
        <w:rPr>
          <w:rFonts w:cstheme="minorHAnsi"/>
          <w:color w:val="0000FF"/>
        </w:rPr>
        <w:t>outhwest Michigan Behavioral Health (SWMBH</w:t>
      </w:r>
      <w:r w:rsidR="007C1485">
        <w:rPr>
          <w:rFonts w:cstheme="minorHAnsi"/>
          <w:color w:val="0000FF"/>
        </w:rPr>
        <w:t>) using</w:t>
      </w:r>
      <w:r w:rsidR="00064639">
        <w:rPr>
          <w:rFonts w:cstheme="minorHAnsi"/>
          <w:color w:val="0000FF"/>
        </w:rPr>
        <w:t xml:space="preserve"> the</w:t>
      </w:r>
      <w:r w:rsidRPr="0080547F">
        <w:rPr>
          <w:rFonts w:cstheme="minorHAnsi"/>
          <w:color w:val="0000FF"/>
        </w:rPr>
        <w:t xml:space="preserve"> Youth Services Survey (YSS)</w:t>
      </w:r>
      <w:r w:rsidR="00E17FD7">
        <w:rPr>
          <w:rFonts w:cstheme="minorHAnsi" w:hint="eastAsia"/>
          <w:color w:val="0000FF"/>
          <w:lang w:eastAsia="zh-CN"/>
        </w:rPr>
        <w:t xml:space="preserve">.  </w:t>
      </w:r>
      <w:r w:rsidRPr="0080547F">
        <w:rPr>
          <w:rFonts w:cstheme="minorHAnsi"/>
          <w:color w:val="0000FF"/>
        </w:rPr>
        <w:t xml:space="preserve"> (In </w:t>
      </w:r>
      <w:r w:rsidR="007C1485">
        <w:rPr>
          <w:rFonts w:cstheme="minorHAnsi"/>
          <w:color w:val="0000FF"/>
        </w:rPr>
        <w:t xml:space="preserve">April </w:t>
      </w:r>
      <w:r w:rsidR="007C1485" w:rsidRPr="0080547F">
        <w:rPr>
          <w:rFonts w:cstheme="minorHAnsi"/>
          <w:color w:val="0000FF"/>
        </w:rPr>
        <w:t>2018</w:t>
      </w:r>
      <w:r w:rsidRPr="0080547F">
        <w:rPr>
          <w:rFonts w:cstheme="minorHAnsi"/>
          <w:color w:val="0000FF"/>
        </w:rPr>
        <w:t>, results from other outcome data collected for youth served will be reported.)</w:t>
      </w:r>
    </w:p>
    <w:p w:rsidR="00F97BA0" w:rsidRPr="0080547F" w:rsidRDefault="00F97BA0" w:rsidP="00F97BA0">
      <w:pPr>
        <w:spacing w:line="240" w:lineRule="auto"/>
        <w:contextualSpacing/>
        <w:rPr>
          <w:rFonts w:cstheme="minorHAnsi"/>
          <w:b/>
          <w:i/>
          <w:color w:val="0000FF"/>
        </w:rPr>
      </w:pPr>
      <w:r w:rsidRPr="0080547F">
        <w:rPr>
          <w:rFonts w:cstheme="minorHAnsi"/>
          <w:b/>
          <w:i/>
          <w:color w:val="0000FF"/>
        </w:rPr>
        <w:t xml:space="preserve">CEO Interpretation: </w:t>
      </w:r>
      <w:r w:rsidRPr="0080547F">
        <w:rPr>
          <w:rFonts w:cstheme="minorHAnsi"/>
          <w:b/>
          <w:i/>
          <w:color w:val="0000FF"/>
          <w:highlight w:val="yellow"/>
        </w:rPr>
        <w:t>(Portions addressed in current report are highlighted in yellow)</w:t>
      </w:r>
    </w:p>
    <w:p w:rsidR="00F97BA0" w:rsidRPr="0080547F" w:rsidRDefault="00F97BA0" w:rsidP="00F97BA0">
      <w:pPr>
        <w:spacing w:line="240" w:lineRule="auto"/>
        <w:contextualSpacing/>
        <w:rPr>
          <w:rFonts w:cstheme="minorHAnsi"/>
          <w:i/>
          <w:color w:val="0000FF"/>
        </w:rPr>
      </w:pPr>
      <w:r w:rsidRPr="0080547F">
        <w:rPr>
          <w:rFonts w:cstheme="minorHAnsi"/>
          <w:b/>
          <w:i/>
          <w:color w:val="0000FF"/>
        </w:rPr>
        <w:t>Improved functioning</w:t>
      </w:r>
      <w:r w:rsidRPr="0080547F">
        <w:rPr>
          <w:rFonts w:cstheme="minorHAnsi"/>
          <w:i/>
          <w:color w:val="0000FF"/>
        </w:rPr>
        <w:t xml:space="preserve"> </w:t>
      </w:r>
      <w:r w:rsidRPr="0080547F">
        <w:rPr>
          <w:rFonts w:cstheme="minorHAnsi"/>
          <w:i/>
          <w:color w:val="0000FF"/>
          <w:highlight w:val="yellow"/>
        </w:rPr>
        <w:t>means that families of children served will indicate the child has improved functioning and outcomes as indicated by a validated instrument.</w:t>
      </w:r>
      <w:r w:rsidRPr="0080547F">
        <w:rPr>
          <w:rFonts w:cstheme="minorHAnsi"/>
          <w:i/>
          <w:color w:val="0000FF"/>
        </w:rPr>
        <w:t xml:space="preserve"> </w:t>
      </w:r>
    </w:p>
    <w:p w:rsidR="00F97BA0" w:rsidRPr="0080547F" w:rsidRDefault="00F97BA0" w:rsidP="00F97BA0">
      <w:pPr>
        <w:spacing w:line="240" w:lineRule="auto"/>
        <w:contextualSpacing/>
        <w:rPr>
          <w:rFonts w:cstheme="minorHAnsi"/>
          <w:i/>
          <w:color w:val="0000FF"/>
        </w:rPr>
      </w:pPr>
      <w:r w:rsidRPr="0080547F">
        <w:rPr>
          <w:rFonts w:cstheme="minorHAnsi"/>
          <w:b/>
          <w:i/>
          <w:color w:val="0000FF"/>
        </w:rPr>
        <w:t>Improved school performance</w:t>
      </w:r>
      <w:r w:rsidRPr="0080547F">
        <w:rPr>
          <w:rFonts w:cstheme="minorHAnsi"/>
          <w:i/>
          <w:color w:val="0000FF"/>
        </w:rPr>
        <w:t xml:space="preserve"> means that children served in intensive programs will demonstrate improvement in grades and school attendance according to school records.  </w:t>
      </w:r>
      <w:r w:rsidRPr="0080547F">
        <w:rPr>
          <w:rFonts w:cstheme="minorHAnsi"/>
          <w:i/>
          <w:color w:val="0000FF"/>
          <w:highlight w:val="yellow"/>
        </w:rPr>
        <w:t>Families of children served will indicate improved school performance.</w:t>
      </w:r>
    </w:p>
    <w:p w:rsidR="00F97BA0" w:rsidRPr="0080547F" w:rsidRDefault="00F97BA0" w:rsidP="00F97BA0">
      <w:pPr>
        <w:spacing w:line="240" w:lineRule="auto"/>
        <w:contextualSpacing/>
        <w:rPr>
          <w:rFonts w:cstheme="minorHAnsi"/>
          <w:b/>
          <w:i/>
          <w:color w:val="0000FF"/>
        </w:rPr>
      </w:pPr>
      <w:r w:rsidRPr="0080547F">
        <w:rPr>
          <w:rFonts w:cstheme="minorHAnsi"/>
          <w:b/>
          <w:i/>
          <w:color w:val="0000FF"/>
        </w:rPr>
        <w:t>Improved participation in their community</w:t>
      </w:r>
      <w:r w:rsidRPr="0080547F">
        <w:rPr>
          <w:rFonts w:cstheme="minorHAnsi"/>
          <w:i/>
          <w:color w:val="0000FF"/>
        </w:rPr>
        <w:t xml:space="preserve"> </w:t>
      </w:r>
      <w:r w:rsidRPr="0080547F">
        <w:rPr>
          <w:rFonts w:cstheme="minorHAnsi"/>
          <w:i/>
          <w:color w:val="0000FF"/>
          <w:highlight w:val="yellow"/>
        </w:rPr>
        <w:t>means that families and children served will indicate higher levels of social connection in their community.</w:t>
      </w:r>
      <w:r w:rsidRPr="0080547F">
        <w:rPr>
          <w:rFonts w:cstheme="minorHAnsi"/>
          <w:i/>
          <w:color w:val="0000FF"/>
        </w:rPr>
        <w:t xml:space="preserve">  Additionally, children served in intensive programs will increase the number of community activities in which they participate.</w:t>
      </w:r>
      <w:r w:rsidRPr="0080547F">
        <w:rPr>
          <w:rFonts w:cstheme="minorHAnsi"/>
          <w:b/>
          <w:i/>
          <w:color w:val="0000FF"/>
        </w:rPr>
        <w:t xml:space="preserve"> </w:t>
      </w:r>
    </w:p>
    <w:p w:rsidR="00F97BA0" w:rsidRPr="0080547F" w:rsidRDefault="00F97BA0" w:rsidP="00F97BA0">
      <w:pPr>
        <w:spacing w:line="240" w:lineRule="auto"/>
        <w:contextualSpacing/>
        <w:rPr>
          <w:rFonts w:cstheme="minorHAnsi"/>
          <w:b/>
          <w:i/>
          <w:color w:val="0000FF"/>
        </w:rPr>
      </w:pPr>
      <w:r w:rsidRPr="0080547F">
        <w:rPr>
          <w:rFonts w:cstheme="minorHAnsi"/>
          <w:b/>
          <w:i/>
          <w:color w:val="0000FF"/>
        </w:rPr>
        <w:t>Improved overall family functioning</w:t>
      </w:r>
      <w:r w:rsidRPr="0080547F">
        <w:rPr>
          <w:rFonts w:cstheme="minorHAnsi"/>
          <w:i/>
          <w:color w:val="0000FF"/>
        </w:rPr>
        <w:t xml:space="preserve"> </w:t>
      </w:r>
      <w:r w:rsidRPr="0080547F">
        <w:rPr>
          <w:rFonts w:cstheme="minorHAnsi"/>
          <w:i/>
          <w:color w:val="0000FF"/>
          <w:highlight w:val="yellow"/>
        </w:rPr>
        <w:t>means that families served will indicate satisfaction with family life, and having social and family supports.</w:t>
      </w:r>
      <w:r w:rsidRPr="0080547F">
        <w:rPr>
          <w:rFonts w:cstheme="minorHAnsi"/>
          <w:i/>
          <w:color w:val="0000FF"/>
        </w:rPr>
        <w:t xml:space="preserve">  Additionally, families served in intensive services will have fewer substantiated abuse and neglect issues.</w:t>
      </w:r>
    </w:p>
    <w:p w:rsidR="00F97BA0" w:rsidRPr="0080547F" w:rsidRDefault="00F97BA0" w:rsidP="00F97BA0">
      <w:pPr>
        <w:spacing w:line="240" w:lineRule="auto"/>
        <w:contextualSpacing/>
        <w:rPr>
          <w:rFonts w:cstheme="minorHAnsi"/>
          <w:b/>
          <w:i/>
          <w:color w:val="0000FF"/>
        </w:rPr>
      </w:pPr>
    </w:p>
    <w:p w:rsidR="00F97BA0" w:rsidRPr="0080547F" w:rsidRDefault="00F97BA0" w:rsidP="00F97BA0">
      <w:pPr>
        <w:spacing w:line="240" w:lineRule="auto"/>
        <w:contextualSpacing/>
        <w:rPr>
          <w:rFonts w:cstheme="minorHAnsi"/>
          <w:b/>
          <w:i/>
          <w:color w:val="0000FF"/>
        </w:rPr>
      </w:pPr>
      <w:r w:rsidRPr="0080547F">
        <w:rPr>
          <w:rFonts w:cstheme="minorHAnsi"/>
          <w:b/>
          <w:i/>
          <w:color w:val="0000FF"/>
        </w:rPr>
        <w:t>Monitoring report</w:t>
      </w:r>
    </w:p>
    <w:p w:rsidR="00F97BA0" w:rsidRPr="0080547F" w:rsidRDefault="00F97BA0" w:rsidP="00F97BA0">
      <w:pPr>
        <w:spacing w:line="240" w:lineRule="auto"/>
        <w:contextualSpacing/>
        <w:rPr>
          <w:rFonts w:cstheme="minorHAnsi"/>
          <w:b/>
          <w:color w:val="0000FF"/>
        </w:rPr>
      </w:pPr>
      <w:r w:rsidRPr="0080547F">
        <w:rPr>
          <w:rFonts w:cstheme="minorHAnsi"/>
          <w:b/>
          <w:color w:val="0000FF"/>
        </w:rPr>
        <w:t xml:space="preserve">Youth Services Survey </w:t>
      </w:r>
    </w:p>
    <w:p w:rsidR="007C1485" w:rsidRDefault="00F97BA0" w:rsidP="007C1485">
      <w:pPr>
        <w:spacing w:line="240" w:lineRule="auto"/>
        <w:rPr>
          <w:rFonts w:cstheme="minorHAnsi"/>
          <w:color w:val="0000FF"/>
        </w:rPr>
      </w:pPr>
      <w:r w:rsidRPr="0080547F">
        <w:rPr>
          <w:rFonts w:cstheme="minorHAnsi"/>
          <w:color w:val="0000FF"/>
        </w:rPr>
        <w:t xml:space="preserve">The Youth Services Survey (YSS) developed by the Mental Health Statistics Improvement Program was the instrument used to determine improvement in the areas of </w:t>
      </w:r>
      <w:r w:rsidR="00064639">
        <w:rPr>
          <w:rFonts w:cstheme="minorHAnsi"/>
          <w:color w:val="0000FF"/>
        </w:rPr>
        <w:t xml:space="preserve">outcomes, improved </w:t>
      </w:r>
      <w:r w:rsidR="007C1485" w:rsidRPr="0080547F">
        <w:rPr>
          <w:rFonts w:cstheme="minorHAnsi"/>
          <w:color w:val="0000FF"/>
        </w:rPr>
        <w:t xml:space="preserve">functioning </w:t>
      </w:r>
      <w:r w:rsidR="007C1485">
        <w:rPr>
          <w:rFonts w:cstheme="minorHAnsi"/>
          <w:color w:val="0000FF"/>
        </w:rPr>
        <w:t xml:space="preserve">and </w:t>
      </w:r>
      <w:r w:rsidR="00064639">
        <w:rPr>
          <w:rFonts w:cstheme="minorHAnsi"/>
          <w:color w:val="0000FF"/>
        </w:rPr>
        <w:t xml:space="preserve">social connectedness and </w:t>
      </w:r>
      <w:r w:rsidRPr="0080547F">
        <w:rPr>
          <w:rFonts w:cstheme="minorHAnsi"/>
          <w:color w:val="0000FF"/>
        </w:rPr>
        <w:t xml:space="preserve">family life.  The YSS was chosen because it has been validated as a meaningful instrument; it is in the public domain and thus free to use; and it has been used throughout the country so comparison scores for similar populations served are available.  </w:t>
      </w:r>
      <w:r w:rsidR="007C1485">
        <w:rPr>
          <w:rFonts w:cstheme="minorHAnsi"/>
          <w:color w:val="0000FF"/>
        </w:rPr>
        <w:t>VBCMH administered the survey</w:t>
      </w:r>
      <w:r w:rsidR="0092416A">
        <w:rPr>
          <w:rFonts w:cstheme="minorHAnsi"/>
          <w:color w:val="0000FF"/>
        </w:rPr>
        <w:t xml:space="preserve"> to families served annually fro</w:t>
      </w:r>
      <w:r w:rsidR="007C1485">
        <w:rPr>
          <w:rFonts w:cstheme="minorHAnsi"/>
          <w:color w:val="0000FF"/>
        </w:rPr>
        <w:t>m 2009-2014. In the past few years, SWMBH has utilized the YSS and completed the survey for all CMHs in the region.  SWMBH’s administration includes the satisfaction with services dimensions of the YSS.</w:t>
      </w:r>
      <w:r w:rsidR="007C1485" w:rsidRPr="007C1485">
        <w:rPr>
          <w:rFonts w:cstheme="minorHAnsi"/>
          <w:color w:val="0000FF"/>
        </w:rPr>
        <w:t xml:space="preserve"> </w:t>
      </w:r>
      <w:r w:rsidR="007C1485">
        <w:rPr>
          <w:rFonts w:cstheme="minorHAnsi"/>
          <w:color w:val="0000FF"/>
        </w:rPr>
        <w:t xml:space="preserve">SWMBH randomly selected a sample of youth who received services at VBCMH.  The survey was completed by an independent firm through phone calls to </w:t>
      </w:r>
      <w:r w:rsidR="007C1485" w:rsidRPr="0080547F">
        <w:rPr>
          <w:rFonts w:cstheme="minorHAnsi"/>
          <w:color w:val="0000FF"/>
        </w:rPr>
        <w:t xml:space="preserve">parents/guardians of youth.  </w:t>
      </w:r>
      <w:r w:rsidR="0092416A">
        <w:rPr>
          <w:rFonts w:cstheme="minorHAnsi"/>
          <w:color w:val="0000FF"/>
        </w:rPr>
        <w:t xml:space="preserve">For this year’s survey, the sample size for SWMBH overall was robust enough to have full </w:t>
      </w:r>
      <w:r w:rsidR="0092416A">
        <w:rPr>
          <w:rFonts w:cstheme="minorHAnsi"/>
          <w:color w:val="0000FF"/>
        </w:rPr>
        <w:lastRenderedPageBreak/>
        <w:t xml:space="preserve">confidence in that the survey represents the total population of families served.  The sample size for VBCMH was smaller than in previous years </w:t>
      </w:r>
      <w:r w:rsidR="00C54655">
        <w:rPr>
          <w:rFonts w:cstheme="minorHAnsi"/>
          <w:color w:val="0000FF"/>
        </w:rPr>
        <w:t>and thus</w:t>
      </w:r>
      <w:r w:rsidR="0092416A">
        <w:rPr>
          <w:rFonts w:cstheme="minorHAnsi"/>
          <w:color w:val="0000FF"/>
        </w:rPr>
        <w:t xml:space="preserve"> less assurance that the results represent the total population of families served.  The VBCMH scores are </w:t>
      </w:r>
      <w:r w:rsidR="00C54655">
        <w:rPr>
          <w:rFonts w:cstheme="minorHAnsi"/>
          <w:color w:val="0000FF"/>
        </w:rPr>
        <w:t>consistent to</w:t>
      </w:r>
      <w:r w:rsidR="0092416A">
        <w:rPr>
          <w:rFonts w:cstheme="minorHAnsi"/>
          <w:color w:val="0000FF"/>
        </w:rPr>
        <w:t xml:space="preserve"> previous years’ results which increases confidence that they are valid.</w:t>
      </w:r>
    </w:p>
    <w:p w:rsidR="00F97BA0" w:rsidRDefault="00B93A67" w:rsidP="00F97BA0">
      <w:pPr>
        <w:spacing w:line="240" w:lineRule="auto"/>
        <w:contextualSpacing/>
        <w:rPr>
          <w:rFonts w:cstheme="minorHAnsi"/>
          <w:color w:val="0000FF"/>
        </w:rPr>
      </w:pPr>
      <w:r>
        <w:rPr>
          <w:rFonts w:cstheme="minorHAnsi"/>
          <w:color w:val="0000FF"/>
        </w:rPr>
        <w:t xml:space="preserve">In the years that VBCMH conducted this survey on its own, we found that </w:t>
      </w:r>
      <w:r w:rsidR="00F97BA0" w:rsidRPr="0080547F">
        <w:rPr>
          <w:rFonts w:cstheme="minorHAnsi"/>
          <w:color w:val="0000FF"/>
        </w:rPr>
        <w:t xml:space="preserve">the state of Oregon offered the most complete data collected on a population similar to that served by VBCMH (outpatient mental health services for children with serious emotional disturbance and including children </w:t>
      </w:r>
      <w:r w:rsidR="00E17FD7">
        <w:rPr>
          <w:rFonts w:cstheme="minorHAnsi"/>
          <w:color w:val="0000FF"/>
        </w:rPr>
        <w:t>with developmental disabilities</w:t>
      </w:r>
      <w:r w:rsidR="00F97BA0" w:rsidRPr="0080547F">
        <w:rPr>
          <w:rFonts w:cstheme="minorHAnsi"/>
          <w:color w:val="0000FF"/>
        </w:rPr>
        <w:t>)</w:t>
      </w:r>
      <w:r w:rsidR="00E17FD7">
        <w:rPr>
          <w:rFonts w:cstheme="minorHAnsi" w:hint="eastAsia"/>
          <w:color w:val="0000FF"/>
          <w:lang w:eastAsia="zh-CN"/>
        </w:rPr>
        <w:t xml:space="preserve">. </w:t>
      </w:r>
      <w:r w:rsidR="00F97BA0" w:rsidRPr="0080547F">
        <w:rPr>
          <w:rFonts w:cstheme="minorHAnsi"/>
          <w:color w:val="0000FF"/>
        </w:rPr>
        <w:t xml:space="preserve">  </w:t>
      </w:r>
      <w:smartTag w:uri="urn:schemas-microsoft-com:office:smarttags" w:element="State">
        <w:smartTag w:uri="urn:schemas-microsoft-com:office:smarttags" w:element="place">
          <w:r w:rsidR="00F97BA0" w:rsidRPr="0080547F">
            <w:rPr>
              <w:rFonts w:cstheme="minorHAnsi"/>
              <w:color w:val="0000FF"/>
            </w:rPr>
            <w:t>Oregon</w:t>
          </w:r>
        </w:smartTag>
      </w:smartTag>
      <w:r w:rsidR="00F97BA0" w:rsidRPr="0080547F">
        <w:rPr>
          <w:rFonts w:cstheme="minorHAnsi"/>
          <w:color w:val="0000FF"/>
        </w:rPr>
        <w:t xml:space="preserve"> has collected and published the data each year since 2004 and their published reports provide enough detail to insure that data analysis is completed in the same manner.  </w:t>
      </w:r>
      <w:r w:rsidR="00064639">
        <w:rPr>
          <w:rFonts w:cstheme="minorHAnsi"/>
          <w:color w:val="0000FF"/>
        </w:rPr>
        <w:t xml:space="preserve">Comparisons to regional data are </w:t>
      </w:r>
      <w:r>
        <w:rPr>
          <w:rFonts w:cstheme="minorHAnsi"/>
          <w:color w:val="0000FF"/>
        </w:rPr>
        <w:t>offered as well as the analysis provided in previous years against the national averages obtained from Oregon.</w:t>
      </w:r>
      <w:r w:rsidR="00064639">
        <w:rPr>
          <w:rFonts w:cstheme="minorHAnsi"/>
          <w:color w:val="0000FF"/>
        </w:rPr>
        <w:t xml:space="preserve"> </w:t>
      </w:r>
    </w:p>
    <w:p w:rsidR="005D7A31" w:rsidRPr="0080547F" w:rsidRDefault="005D7A31" w:rsidP="00F97BA0">
      <w:pPr>
        <w:spacing w:line="240" w:lineRule="auto"/>
        <w:contextualSpacing/>
        <w:rPr>
          <w:rFonts w:cstheme="minorHAnsi"/>
          <w:color w:val="0000FF"/>
        </w:rPr>
      </w:pPr>
    </w:p>
    <w:p w:rsidR="00F97BA0" w:rsidRPr="00214D8E" w:rsidRDefault="00214D8E" w:rsidP="00F97BA0">
      <w:pPr>
        <w:spacing w:line="240" w:lineRule="auto"/>
        <w:rPr>
          <w:rFonts w:cstheme="minorHAnsi"/>
          <w:b/>
          <w:color w:val="0000FF"/>
        </w:rPr>
      </w:pPr>
      <w:r w:rsidRPr="00214D8E">
        <w:rPr>
          <w:rFonts w:cstheme="minorHAnsi"/>
          <w:b/>
          <w:color w:val="0000FF"/>
        </w:rPr>
        <w:t>Regional comparisons</w:t>
      </w:r>
      <w:r w:rsidR="00F97BA0" w:rsidRPr="00214D8E">
        <w:rPr>
          <w:rFonts w:cstheme="minorHAnsi"/>
          <w:b/>
          <w:color w:val="0000FF"/>
        </w:rPr>
        <w:t xml:space="preserve"> </w:t>
      </w:r>
    </w:p>
    <w:p w:rsidR="00214D8E" w:rsidRDefault="00214D8E" w:rsidP="00F97BA0">
      <w:pPr>
        <w:spacing w:line="240" w:lineRule="auto"/>
        <w:rPr>
          <w:rFonts w:cstheme="minorHAnsi"/>
          <w:color w:val="0000FF"/>
        </w:rPr>
      </w:pPr>
      <w:r>
        <w:rPr>
          <w:rFonts w:cstheme="minorHAnsi"/>
          <w:color w:val="0000FF"/>
        </w:rPr>
        <w:t>The full YSS survey was administered through SWMBH, whereas in the past VBCMH administered only the Outcomes, Functioning and Social Connectedness se</w:t>
      </w:r>
      <w:r w:rsidR="00B93A67">
        <w:rPr>
          <w:rFonts w:cstheme="minorHAnsi"/>
          <w:color w:val="0000FF"/>
        </w:rPr>
        <w:t>ctions. SWMBH reported that in 5</w:t>
      </w:r>
      <w:r>
        <w:rPr>
          <w:rFonts w:cstheme="minorHAnsi"/>
          <w:color w:val="0000FF"/>
        </w:rPr>
        <w:t xml:space="preserve"> of 6 domains, VBCMH demonstrated higher averages than the region</w:t>
      </w:r>
      <w:r w:rsidR="00B93A67">
        <w:rPr>
          <w:rFonts w:cstheme="minorHAnsi"/>
          <w:color w:val="0000FF"/>
        </w:rPr>
        <w:t xml:space="preserve"> and in one domain, Access</w:t>
      </w:r>
      <w:r w:rsidR="0092416A">
        <w:rPr>
          <w:rFonts w:cstheme="minorHAnsi"/>
          <w:color w:val="0000FF"/>
        </w:rPr>
        <w:t>, the</w:t>
      </w:r>
      <w:r w:rsidR="00B93A67">
        <w:rPr>
          <w:rFonts w:cstheme="minorHAnsi"/>
          <w:color w:val="0000FF"/>
        </w:rPr>
        <w:t xml:space="preserve"> scores were </w:t>
      </w:r>
      <w:r w:rsidR="00C54655">
        <w:rPr>
          <w:rFonts w:cstheme="minorHAnsi"/>
          <w:color w:val="0000FF"/>
        </w:rPr>
        <w:t xml:space="preserve">both </w:t>
      </w:r>
      <w:r w:rsidR="00B93A67">
        <w:rPr>
          <w:rFonts w:cstheme="minorHAnsi"/>
          <w:color w:val="0000FF"/>
        </w:rPr>
        <w:t>high and equal</w:t>
      </w:r>
      <w:r>
        <w:rPr>
          <w:rFonts w:cstheme="minorHAnsi"/>
          <w:color w:val="0000FF"/>
        </w:rPr>
        <w:t xml:space="preserve">.  SWMBH further reported that in the Outcomes domain, the ‘in agreement’ percentages for VBCMH were significantly higher than the SWMBH </w:t>
      </w:r>
      <w:r w:rsidR="0092416A">
        <w:rPr>
          <w:rFonts w:cstheme="minorHAnsi"/>
          <w:color w:val="0000FF"/>
        </w:rPr>
        <w:t>average</w:t>
      </w:r>
      <w:r>
        <w:rPr>
          <w:rFonts w:cstheme="minorHAnsi"/>
          <w:color w:val="0000FF"/>
        </w:rPr>
        <w:t xml:space="preserve">.  (SWMBH did not calculate the Functioning domain.) </w:t>
      </w:r>
    </w:p>
    <w:tbl>
      <w:tblPr>
        <w:tblStyle w:val="TableGrid"/>
        <w:tblW w:w="0" w:type="auto"/>
        <w:tblLook w:val="04A0" w:firstRow="1" w:lastRow="0" w:firstColumn="1" w:lastColumn="0" w:noHBand="0" w:noVBand="1"/>
      </w:tblPr>
      <w:tblGrid>
        <w:gridCol w:w="1192"/>
        <w:gridCol w:w="1085"/>
        <w:gridCol w:w="1440"/>
        <w:gridCol w:w="1290"/>
        <w:gridCol w:w="1696"/>
        <w:gridCol w:w="1294"/>
        <w:gridCol w:w="1579"/>
      </w:tblGrid>
      <w:tr w:rsidR="00214D8E" w:rsidTr="00B93A67">
        <w:tc>
          <w:tcPr>
            <w:tcW w:w="1192" w:type="dxa"/>
          </w:tcPr>
          <w:p w:rsidR="00214D8E" w:rsidRDefault="00214D8E" w:rsidP="00F97BA0">
            <w:pPr>
              <w:rPr>
                <w:rFonts w:cstheme="minorHAnsi"/>
                <w:color w:val="0000FF"/>
              </w:rPr>
            </w:pPr>
          </w:p>
        </w:tc>
        <w:tc>
          <w:tcPr>
            <w:tcW w:w="1085" w:type="dxa"/>
          </w:tcPr>
          <w:p w:rsidR="00214D8E" w:rsidRDefault="00214D8E" w:rsidP="00F97BA0">
            <w:pPr>
              <w:rPr>
                <w:rFonts w:cstheme="minorHAnsi"/>
                <w:color w:val="0000FF"/>
              </w:rPr>
            </w:pPr>
            <w:r>
              <w:rPr>
                <w:rFonts w:cstheme="minorHAnsi"/>
                <w:color w:val="0000FF"/>
              </w:rPr>
              <w:t>Access</w:t>
            </w:r>
          </w:p>
        </w:tc>
        <w:tc>
          <w:tcPr>
            <w:tcW w:w="1440" w:type="dxa"/>
          </w:tcPr>
          <w:p w:rsidR="00214D8E" w:rsidRDefault="00214D8E" w:rsidP="00F97BA0">
            <w:pPr>
              <w:rPr>
                <w:rFonts w:cstheme="minorHAnsi"/>
                <w:color w:val="0000FF"/>
              </w:rPr>
            </w:pPr>
            <w:r>
              <w:rPr>
                <w:rFonts w:cstheme="minorHAnsi"/>
                <w:color w:val="0000FF"/>
              </w:rPr>
              <w:t>Participation in to treatment</w:t>
            </w:r>
          </w:p>
        </w:tc>
        <w:tc>
          <w:tcPr>
            <w:tcW w:w="1290" w:type="dxa"/>
          </w:tcPr>
          <w:p w:rsidR="00214D8E" w:rsidRDefault="00214D8E" w:rsidP="00F97BA0">
            <w:pPr>
              <w:rPr>
                <w:rFonts w:cstheme="minorHAnsi"/>
                <w:color w:val="0000FF"/>
              </w:rPr>
            </w:pPr>
            <w:r>
              <w:rPr>
                <w:rFonts w:cstheme="minorHAnsi"/>
                <w:color w:val="0000FF"/>
              </w:rPr>
              <w:t>Cultural Sensitivity</w:t>
            </w:r>
          </w:p>
        </w:tc>
        <w:tc>
          <w:tcPr>
            <w:tcW w:w="1696" w:type="dxa"/>
          </w:tcPr>
          <w:p w:rsidR="00214D8E" w:rsidRDefault="00214D8E" w:rsidP="00F97BA0">
            <w:pPr>
              <w:rPr>
                <w:rFonts w:cstheme="minorHAnsi"/>
                <w:color w:val="0000FF"/>
              </w:rPr>
            </w:pPr>
            <w:r>
              <w:rPr>
                <w:rFonts w:cstheme="minorHAnsi"/>
                <w:color w:val="0000FF"/>
              </w:rPr>
              <w:t>Appropriateness of treatment</w:t>
            </w:r>
          </w:p>
        </w:tc>
        <w:tc>
          <w:tcPr>
            <w:tcW w:w="1294" w:type="dxa"/>
          </w:tcPr>
          <w:p w:rsidR="00214D8E" w:rsidRDefault="00214D8E" w:rsidP="00F97BA0">
            <w:pPr>
              <w:rPr>
                <w:rFonts w:cstheme="minorHAnsi"/>
                <w:color w:val="0000FF"/>
              </w:rPr>
            </w:pPr>
            <w:r>
              <w:rPr>
                <w:rFonts w:cstheme="minorHAnsi"/>
                <w:color w:val="0000FF"/>
              </w:rPr>
              <w:t>Outcomes</w:t>
            </w:r>
          </w:p>
        </w:tc>
        <w:tc>
          <w:tcPr>
            <w:tcW w:w="1579" w:type="dxa"/>
          </w:tcPr>
          <w:p w:rsidR="00214D8E" w:rsidRDefault="00214D8E" w:rsidP="00F97BA0">
            <w:pPr>
              <w:rPr>
                <w:rFonts w:cstheme="minorHAnsi"/>
                <w:color w:val="0000FF"/>
              </w:rPr>
            </w:pPr>
            <w:r>
              <w:rPr>
                <w:rFonts w:cstheme="minorHAnsi"/>
                <w:color w:val="0000FF"/>
              </w:rPr>
              <w:t>Social Connectedness</w:t>
            </w:r>
          </w:p>
        </w:tc>
      </w:tr>
      <w:tr w:rsidR="00214D8E" w:rsidTr="00B93A67">
        <w:tc>
          <w:tcPr>
            <w:tcW w:w="1192" w:type="dxa"/>
          </w:tcPr>
          <w:p w:rsidR="00214D8E" w:rsidRDefault="00214D8E" w:rsidP="00F97BA0">
            <w:pPr>
              <w:rPr>
                <w:rFonts w:cstheme="minorHAnsi"/>
                <w:color w:val="0000FF"/>
              </w:rPr>
            </w:pPr>
            <w:r>
              <w:rPr>
                <w:rFonts w:cstheme="minorHAnsi"/>
                <w:color w:val="0000FF"/>
              </w:rPr>
              <w:t>VBCMH</w:t>
            </w:r>
          </w:p>
        </w:tc>
        <w:tc>
          <w:tcPr>
            <w:tcW w:w="1085" w:type="dxa"/>
          </w:tcPr>
          <w:p w:rsidR="00214D8E" w:rsidRDefault="00B93A67" w:rsidP="00F97BA0">
            <w:pPr>
              <w:rPr>
                <w:rFonts w:cstheme="minorHAnsi"/>
                <w:color w:val="0000FF"/>
              </w:rPr>
            </w:pPr>
            <w:r>
              <w:rPr>
                <w:rFonts w:cstheme="minorHAnsi"/>
                <w:color w:val="0000FF"/>
              </w:rPr>
              <w:t>92</w:t>
            </w:r>
          </w:p>
        </w:tc>
        <w:tc>
          <w:tcPr>
            <w:tcW w:w="1440" w:type="dxa"/>
          </w:tcPr>
          <w:p w:rsidR="00214D8E" w:rsidRDefault="00214D8E" w:rsidP="00B93A67">
            <w:pPr>
              <w:rPr>
                <w:rFonts w:cstheme="minorHAnsi"/>
                <w:color w:val="0000FF"/>
              </w:rPr>
            </w:pPr>
            <w:r>
              <w:rPr>
                <w:rFonts w:cstheme="minorHAnsi"/>
                <w:color w:val="0000FF"/>
              </w:rPr>
              <w:t>9</w:t>
            </w:r>
            <w:r w:rsidR="00B93A67">
              <w:rPr>
                <w:rFonts w:cstheme="minorHAnsi"/>
                <w:color w:val="0000FF"/>
              </w:rPr>
              <w:t>6</w:t>
            </w:r>
          </w:p>
        </w:tc>
        <w:tc>
          <w:tcPr>
            <w:tcW w:w="1290" w:type="dxa"/>
          </w:tcPr>
          <w:p w:rsidR="00214D8E" w:rsidRDefault="00B93A67" w:rsidP="00F97BA0">
            <w:pPr>
              <w:rPr>
                <w:rFonts w:cstheme="minorHAnsi"/>
                <w:color w:val="0000FF"/>
              </w:rPr>
            </w:pPr>
            <w:r>
              <w:rPr>
                <w:rFonts w:cstheme="minorHAnsi"/>
                <w:color w:val="0000FF"/>
              </w:rPr>
              <w:t>100</w:t>
            </w:r>
          </w:p>
        </w:tc>
        <w:tc>
          <w:tcPr>
            <w:tcW w:w="1696" w:type="dxa"/>
          </w:tcPr>
          <w:p w:rsidR="00214D8E" w:rsidRDefault="0092416A" w:rsidP="00F97BA0">
            <w:pPr>
              <w:rPr>
                <w:rFonts w:cstheme="minorHAnsi"/>
                <w:color w:val="0000FF"/>
              </w:rPr>
            </w:pPr>
            <w:r>
              <w:rPr>
                <w:rFonts w:cstheme="minorHAnsi"/>
                <w:color w:val="0000FF"/>
              </w:rPr>
              <w:t>79</w:t>
            </w:r>
          </w:p>
        </w:tc>
        <w:tc>
          <w:tcPr>
            <w:tcW w:w="1294" w:type="dxa"/>
          </w:tcPr>
          <w:p w:rsidR="00214D8E" w:rsidRDefault="0092416A" w:rsidP="00F97BA0">
            <w:pPr>
              <w:rPr>
                <w:rFonts w:cstheme="minorHAnsi"/>
                <w:color w:val="0000FF"/>
              </w:rPr>
            </w:pPr>
            <w:r>
              <w:rPr>
                <w:rFonts w:cstheme="minorHAnsi"/>
                <w:color w:val="0000FF"/>
              </w:rPr>
              <w:t>6</w:t>
            </w:r>
            <w:r w:rsidR="00214D8E">
              <w:rPr>
                <w:rFonts w:cstheme="minorHAnsi"/>
                <w:color w:val="0000FF"/>
              </w:rPr>
              <w:t>8</w:t>
            </w:r>
          </w:p>
        </w:tc>
        <w:tc>
          <w:tcPr>
            <w:tcW w:w="1579" w:type="dxa"/>
          </w:tcPr>
          <w:p w:rsidR="00214D8E" w:rsidRDefault="00214D8E" w:rsidP="00F97BA0">
            <w:pPr>
              <w:rPr>
                <w:rFonts w:cstheme="minorHAnsi"/>
                <w:color w:val="0000FF"/>
              </w:rPr>
            </w:pPr>
            <w:r>
              <w:rPr>
                <w:rFonts w:cstheme="minorHAnsi"/>
                <w:color w:val="0000FF"/>
              </w:rPr>
              <w:t>96</w:t>
            </w:r>
          </w:p>
        </w:tc>
      </w:tr>
      <w:tr w:rsidR="00214D8E" w:rsidTr="00B93A67">
        <w:tc>
          <w:tcPr>
            <w:tcW w:w="1192" w:type="dxa"/>
          </w:tcPr>
          <w:p w:rsidR="00214D8E" w:rsidRDefault="00214D8E" w:rsidP="00F97BA0">
            <w:pPr>
              <w:rPr>
                <w:rFonts w:cstheme="minorHAnsi"/>
                <w:color w:val="0000FF"/>
              </w:rPr>
            </w:pPr>
            <w:r>
              <w:rPr>
                <w:rFonts w:cstheme="minorHAnsi"/>
                <w:color w:val="0000FF"/>
              </w:rPr>
              <w:t>SWMBH</w:t>
            </w:r>
          </w:p>
        </w:tc>
        <w:tc>
          <w:tcPr>
            <w:tcW w:w="1085" w:type="dxa"/>
          </w:tcPr>
          <w:p w:rsidR="00214D8E" w:rsidRDefault="00B93A67" w:rsidP="00F97BA0">
            <w:pPr>
              <w:rPr>
                <w:rFonts w:cstheme="minorHAnsi"/>
                <w:color w:val="0000FF"/>
              </w:rPr>
            </w:pPr>
            <w:r>
              <w:rPr>
                <w:rFonts w:cstheme="minorHAnsi"/>
                <w:color w:val="0000FF"/>
              </w:rPr>
              <w:t>92</w:t>
            </w:r>
          </w:p>
        </w:tc>
        <w:tc>
          <w:tcPr>
            <w:tcW w:w="1440" w:type="dxa"/>
          </w:tcPr>
          <w:p w:rsidR="00214D8E" w:rsidRDefault="00B93A67" w:rsidP="00F97BA0">
            <w:pPr>
              <w:rPr>
                <w:rFonts w:cstheme="minorHAnsi"/>
                <w:color w:val="0000FF"/>
              </w:rPr>
            </w:pPr>
            <w:r>
              <w:rPr>
                <w:rFonts w:cstheme="minorHAnsi"/>
                <w:color w:val="0000FF"/>
              </w:rPr>
              <w:t>92</w:t>
            </w:r>
          </w:p>
        </w:tc>
        <w:tc>
          <w:tcPr>
            <w:tcW w:w="1290" w:type="dxa"/>
          </w:tcPr>
          <w:p w:rsidR="00214D8E" w:rsidRDefault="00B93A67" w:rsidP="00F97BA0">
            <w:pPr>
              <w:rPr>
                <w:rFonts w:cstheme="minorHAnsi"/>
                <w:color w:val="0000FF"/>
              </w:rPr>
            </w:pPr>
            <w:r>
              <w:rPr>
                <w:rFonts w:cstheme="minorHAnsi"/>
                <w:color w:val="0000FF"/>
              </w:rPr>
              <w:t>97</w:t>
            </w:r>
          </w:p>
        </w:tc>
        <w:tc>
          <w:tcPr>
            <w:tcW w:w="1696" w:type="dxa"/>
          </w:tcPr>
          <w:p w:rsidR="00214D8E" w:rsidRDefault="0092416A" w:rsidP="00F97BA0">
            <w:pPr>
              <w:rPr>
                <w:rFonts w:cstheme="minorHAnsi"/>
                <w:color w:val="0000FF"/>
              </w:rPr>
            </w:pPr>
            <w:r>
              <w:rPr>
                <w:rFonts w:cstheme="minorHAnsi"/>
                <w:color w:val="0000FF"/>
              </w:rPr>
              <w:t>78</w:t>
            </w:r>
          </w:p>
        </w:tc>
        <w:tc>
          <w:tcPr>
            <w:tcW w:w="1294" w:type="dxa"/>
          </w:tcPr>
          <w:p w:rsidR="00214D8E" w:rsidRDefault="0092416A" w:rsidP="00F97BA0">
            <w:pPr>
              <w:rPr>
                <w:rFonts w:cstheme="minorHAnsi"/>
                <w:color w:val="0000FF"/>
              </w:rPr>
            </w:pPr>
            <w:r>
              <w:rPr>
                <w:rFonts w:cstheme="minorHAnsi"/>
                <w:color w:val="0000FF"/>
              </w:rPr>
              <w:t>62</w:t>
            </w:r>
          </w:p>
        </w:tc>
        <w:tc>
          <w:tcPr>
            <w:tcW w:w="1579" w:type="dxa"/>
          </w:tcPr>
          <w:p w:rsidR="00214D8E" w:rsidRDefault="00214D8E" w:rsidP="00F97BA0">
            <w:pPr>
              <w:rPr>
                <w:rFonts w:cstheme="minorHAnsi"/>
                <w:color w:val="0000FF"/>
              </w:rPr>
            </w:pPr>
            <w:r>
              <w:rPr>
                <w:rFonts w:cstheme="minorHAnsi"/>
                <w:color w:val="0000FF"/>
              </w:rPr>
              <w:t>93</w:t>
            </w:r>
          </w:p>
        </w:tc>
      </w:tr>
    </w:tbl>
    <w:p w:rsidR="00277114" w:rsidRPr="00277114" w:rsidRDefault="00277114" w:rsidP="00F97BA0">
      <w:pPr>
        <w:spacing w:line="240" w:lineRule="auto"/>
        <w:rPr>
          <w:rFonts w:cstheme="minorHAnsi"/>
          <w:b/>
          <w:color w:val="0000FF"/>
          <w:sz w:val="16"/>
          <w:szCs w:val="16"/>
        </w:rPr>
      </w:pPr>
    </w:p>
    <w:p w:rsidR="00277114" w:rsidRDefault="002C6F54" w:rsidP="00F97BA0">
      <w:pPr>
        <w:spacing w:line="240" w:lineRule="auto"/>
        <w:rPr>
          <w:rFonts w:cstheme="minorHAnsi"/>
          <w:color w:val="0000FF"/>
        </w:rPr>
      </w:pPr>
      <w:r w:rsidRPr="002C6F54">
        <w:rPr>
          <w:rFonts w:cstheme="minorHAnsi"/>
          <w:b/>
          <w:color w:val="0000FF"/>
        </w:rPr>
        <w:t>Comparisons with Oregon</w:t>
      </w:r>
      <w:r w:rsidR="00214D8E">
        <w:rPr>
          <w:rFonts w:cstheme="minorHAnsi"/>
          <w:color w:val="0000FF"/>
        </w:rPr>
        <w:t xml:space="preserve">  </w:t>
      </w:r>
    </w:p>
    <w:p w:rsidR="00C54655" w:rsidRDefault="002C6F54" w:rsidP="00F97BA0">
      <w:pPr>
        <w:spacing w:line="240" w:lineRule="auto"/>
        <w:rPr>
          <w:rFonts w:cstheme="minorHAnsi"/>
          <w:color w:val="0000FF"/>
        </w:rPr>
      </w:pPr>
      <w:r>
        <w:rPr>
          <w:rFonts w:cstheme="minorHAnsi"/>
          <w:color w:val="0000FF"/>
        </w:rPr>
        <w:t xml:space="preserve">Consistent with prior year reviews, the data collected by SWMBH was compared to Oregon. </w:t>
      </w:r>
      <w:r w:rsidR="00F97BA0" w:rsidRPr="0080547F">
        <w:rPr>
          <w:rFonts w:cstheme="minorHAnsi"/>
          <w:color w:val="0000FF"/>
        </w:rPr>
        <w:t>In order to compare scores with the State of Oregon, computation of the section scores, called domain scores, were calculated following the same methodology as in Oregon. A domain score that averaged 3.5 or greater was considered positive, and only those scores for persons answering two-thirds of the questions in a section were counted.  Domain scores require a consistently positive response to individual items within a section in order to characterize a responder as having positive perceptions of that area.  Domain scores are a more robust comparative indicator than</w:t>
      </w:r>
      <w:r w:rsidR="00C54655">
        <w:rPr>
          <w:rFonts w:cstheme="minorHAnsi"/>
          <w:color w:val="0000FF"/>
        </w:rPr>
        <w:t xml:space="preserve"> the simple in agreement percentages used by SWMBH</w:t>
      </w:r>
      <w:r w:rsidR="00F97BA0" w:rsidRPr="0080547F">
        <w:rPr>
          <w:rFonts w:cstheme="minorHAnsi"/>
          <w:color w:val="0000FF"/>
        </w:rPr>
        <w:t>.</w:t>
      </w:r>
      <w:r>
        <w:rPr>
          <w:rFonts w:cstheme="minorHAnsi"/>
          <w:color w:val="0000FF"/>
        </w:rPr>
        <w:t xml:space="preserve"> </w:t>
      </w:r>
      <w:r w:rsidR="00C54655">
        <w:rPr>
          <w:rFonts w:cstheme="minorHAnsi"/>
          <w:color w:val="0000FF"/>
        </w:rPr>
        <w:t>Although</w:t>
      </w:r>
      <w:r>
        <w:rPr>
          <w:rFonts w:cstheme="minorHAnsi"/>
          <w:color w:val="0000FF"/>
        </w:rPr>
        <w:t xml:space="preserve"> the scores reported above are not directly comparable to Oregon</w:t>
      </w:r>
      <w:r w:rsidR="00C54655">
        <w:rPr>
          <w:rFonts w:cstheme="minorHAnsi"/>
          <w:color w:val="0000FF"/>
        </w:rPr>
        <w:t>, for VBCMH the scores calculated each way were the same for Outcomes and Social Connectedness.</w:t>
      </w:r>
      <w:r>
        <w:rPr>
          <w:rFonts w:cstheme="minorHAnsi"/>
          <w:color w:val="0000FF"/>
        </w:rPr>
        <w:t xml:space="preserve">  </w:t>
      </w:r>
    </w:p>
    <w:p w:rsidR="00F97BA0" w:rsidRPr="0080547F" w:rsidRDefault="00F97BA0" w:rsidP="00F97BA0">
      <w:pPr>
        <w:spacing w:line="240" w:lineRule="auto"/>
        <w:rPr>
          <w:rFonts w:cstheme="minorHAnsi"/>
          <w:color w:val="0000FF"/>
        </w:rPr>
      </w:pPr>
      <w:r w:rsidRPr="0080547F">
        <w:rPr>
          <w:rFonts w:cstheme="minorHAnsi"/>
          <w:color w:val="0000FF"/>
        </w:rPr>
        <w:t xml:space="preserve">The </w:t>
      </w:r>
      <w:r w:rsidRPr="002C6F54">
        <w:rPr>
          <w:rFonts w:cstheme="minorHAnsi"/>
          <w:b/>
          <w:color w:val="0000FF"/>
        </w:rPr>
        <w:t>Outcomes of Treatment</w:t>
      </w:r>
      <w:r w:rsidRPr="0080547F">
        <w:rPr>
          <w:rFonts w:cstheme="minorHAnsi"/>
          <w:color w:val="0000FF"/>
        </w:rPr>
        <w:t xml:space="preserve"> domain looks for improvement in the quality of life in such areas as handling daily life, satisfaction with family and doing better in school.  The </w:t>
      </w:r>
      <w:r w:rsidR="00E919DA" w:rsidRPr="002C6F54">
        <w:rPr>
          <w:rFonts w:cstheme="minorHAnsi"/>
          <w:b/>
          <w:color w:val="0000FF"/>
        </w:rPr>
        <w:t xml:space="preserve">Daily </w:t>
      </w:r>
      <w:r w:rsidRPr="002C6F54">
        <w:rPr>
          <w:rFonts w:cstheme="minorHAnsi"/>
          <w:b/>
          <w:color w:val="0000FF"/>
        </w:rPr>
        <w:t>Functioning</w:t>
      </w:r>
      <w:r w:rsidRPr="0080547F">
        <w:rPr>
          <w:rFonts w:cstheme="minorHAnsi"/>
          <w:color w:val="0000FF"/>
        </w:rPr>
        <w:t xml:space="preserve"> domain shares several items with the Outcomes domain but also looks at coping skills and the child being able to do things he or she wants to do.  The </w:t>
      </w:r>
      <w:r w:rsidRPr="002C6F54">
        <w:rPr>
          <w:rFonts w:cstheme="minorHAnsi"/>
          <w:b/>
          <w:color w:val="0000FF"/>
        </w:rPr>
        <w:t>Social Connectedness</w:t>
      </w:r>
      <w:r w:rsidR="00C54655">
        <w:rPr>
          <w:rFonts w:cstheme="minorHAnsi"/>
          <w:b/>
          <w:color w:val="0000FF"/>
        </w:rPr>
        <w:t xml:space="preserve"> and Family Life</w:t>
      </w:r>
      <w:r w:rsidRPr="0080547F">
        <w:rPr>
          <w:rFonts w:cstheme="minorHAnsi"/>
          <w:color w:val="0000FF"/>
        </w:rPr>
        <w:t xml:space="preserve"> domain looks for the availability of social support for the family and use of community resources outside of mental health services.  </w:t>
      </w:r>
      <w:r w:rsidR="004F7B68">
        <w:rPr>
          <w:rFonts w:cstheme="minorHAnsi"/>
          <w:color w:val="0000FF"/>
        </w:rPr>
        <w:t>Som</w:t>
      </w:r>
      <w:r w:rsidR="00C54655">
        <w:rPr>
          <w:rFonts w:cstheme="minorHAnsi"/>
          <w:color w:val="0000FF"/>
        </w:rPr>
        <w:t>e studies indicate that strong Social C</w:t>
      </w:r>
      <w:r w:rsidR="004F7B68">
        <w:rPr>
          <w:rFonts w:cstheme="minorHAnsi"/>
          <w:color w:val="0000FF"/>
        </w:rPr>
        <w:t>onnectedness scores are a good predictor of longer term positive outcomes.</w:t>
      </w:r>
    </w:p>
    <w:p w:rsidR="0029370B" w:rsidRDefault="00F97BA0" w:rsidP="00F97BA0">
      <w:pPr>
        <w:spacing w:line="240" w:lineRule="auto"/>
        <w:rPr>
          <w:rFonts w:cstheme="minorHAnsi"/>
          <w:color w:val="0000FF"/>
        </w:rPr>
      </w:pPr>
      <w:r w:rsidRPr="0080547F">
        <w:rPr>
          <w:rFonts w:cstheme="minorHAnsi"/>
          <w:color w:val="0000FF"/>
        </w:rPr>
        <w:lastRenderedPageBreak/>
        <w:t xml:space="preserve">VBCMH scores computed with this methodology were </w:t>
      </w:r>
      <w:r w:rsidR="002C6F54">
        <w:rPr>
          <w:rFonts w:cstheme="minorHAnsi"/>
          <w:color w:val="0000FF"/>
        </w:rPr>
        <w:t xml:space="preserve">significantly </w:t>
      </w:r>
      <w:r w:rsidR="00934EDE">
        <w:rPr>
          <w:rFonts w:cstheme="minorHAnsi"/>
          <w:color w:val="0000FF"/>
        </w:rPr>
        <w:t xml:space="preserve">higher </w:t>
      </w:r>
      <w:r w:rsidR="00F43ECB">
        <w:rPr>
          <w:rFonts w:cstheme="minorHAnsi"/>
          <w:color w:val="0000FF"/>
        </w:rPr>
        <w:t xml:space="preserve">in </w:t>
      </w:r>
      <w:r w:rsidR="002D78AA">
        <w:rPr>
          <w:rFonts w:cstheme="minorHAnsi"/>
          <w:color w:val="0000FF"/>
        </w:rPr>
        <w:t xml:space="preserve">all three </w:t>
      </w:r>
      <w:r w:rsidR="00934EDE">
        <w:rPr>
          <w:rFonts w:cstheme="minorHAnsi"/>
          <w:color w:val="0000FF"/>
        </w:rPr>
        <w:t>of the domains</w:t>
      </w:r>
      <w:r w:rsidR="002D78AA">
        <w:rPr>
          <w:rFonts w:cstheme="minorHAnsi"/>
          <w:color w:val="0000FF"/>
        </w:rPr>
        <w:t xml:space="preserve"> when compared to the scores for Oregon</w:t>
      </w:r>
      <w:r w:rsidR="002C6F54">
        <w:rPr>
          <w:rFonts w:cstheme="minorHAnsi"/>
          <w:color w:val="0000FF"/>
        </w:rPr>
        <w:t>.</w:t>
      </w:r>
    </w:p>
    <w:tbl>
      <w:tblPr>
        <w:tblW w:w="8060" w:type="dxa"/>
        <w:tblInd w:w="-15" w:type="dxa"/>
        <w:tblLook w:val="04A0" w:firstRow="1" w:lastRow="0" w:firstColumn="1" w:lastColumn="0" w:noHBand="0" w:noVBand="1"/>
      </w:tblPr>
      <w:tblGrid>
        <w:gridCol w:w="3740"/>
        <w:gridCol w:w="1840"/>
        <w:gridCol w:w="1520"/>
        <w:gridCol w:w="960"/>
      </w:tblGrid>
      <w:tr w:rsidR="0029370B" w:rsidRPr="0029370B" w:rsidTr="00C54655">
        <w:trPr>
          <w:trHeight w:val="315"/>
        </w:trPr>
        <w:tc>
          <w:tcPr>
            <w:tcW w:w="3740" w:type="dxa"/>
            <w:tcBorders>
              <w:top w:val="nil"/>
              <w:left w:val="nil"/>
              <w:bottom w:val="nil"/>
              <w:right w:val="nil"/>
            </w:tcBorders>
            <w:shd w:val="clear" w:color="000000" w:fill="FFFFFF"/>
            <w:hideMark/>
          </w:tcPr>
          <w:p w:rsidR="0029370B" w:rsidRPr="0029370B" w:rsidRDefault="0029370B" w:rsidP="0029370B">
            <w:pPr>
              <w:spacing w:after="0" w:line="240" w:lineRule="auto"/>
              <w:rPr>
                <w:rFonts w:ascii="Arial" w:eastAsia="Times New Roman" w:hAnsi="Arial" w:cs="Arial"/>
                <w:sz w:val="24"/>
                <w:szCs w:val="24"/>
              </w:rPr>
            </w:pPr>
            <w:r w:rsidRPr="0029370B">
              <w:rPr>
                <w:rFonts w:ascii="Arial" w:eastAsia="Times New Roman" w:hAnsi="Arial" w:cs="Arial"/>
                <w:sz w:val="24"/>
                <w:szCs w:val="24"/>
              </w:rPr>
              <w:t> </w:t>
            </w:r>
          </w:p>
        </w:tc>
        <w:tc>
          <w:tcPr>
            <w:tcW w:w="1840" w:type="dxa"/>
            <w:tcBorders>
              <w:top w:val="nil"/>
              <w:left w:val="nil"/>
              <w:bottom w:val="nil"/>
              <w:right w:val="nil"/>
            </w:tcBorders>
            <w:shd w:val="clear" w:color="000000" w:fill="FFFFFF"/>
            <w:noWrap/>
            <w:vAlign w:val="bottom"/>
            <w:hideMark/>
          </w:tcPr>
          <w:p w:rsidR="0029370B" w:rsidRPr="0029370B" w:rsidRDefault="00277114" w:rsidP="0029370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9370B" w:rsidRPr="0029370B">
              <w:rPr>
                <w:rFonts w:ascii="Arial" w:eastAsia="Times New Roman" w:hAnsi="Arial" w:cs="Arial"/>
                <w:sz w:val="24"/>
                <w:szCs w:val="24"/>
              </w:rPr>
              <w:t>Van Buren</w:t>
            </w:r>
            <w:r>
              <w:rPr>
                <w:rFonts w:ascii="Arial" w:eastAsia="Times New Roman" w:hAnsi="Arial" w:cs="Arial"/>
                <w:sz w:val="24"/>
                <w:szCs w:val="24"/>
              </w:rPr>
              <w:t xml:space="preserve">                    </w:t>
            </w:r>
          </w:p>
        </w:tc>
        <w:tc>
          <w:tcPr>
            <w:tcW w:w="1520" w:type="dxa"/>
            <w:tcBorders>
              <w:top w:val="nil"/>
              <w:left w:val="nil"/>
              <w:bottom w:val="nil"/>
              <w:right w:val="nil"/>
            </w:tcBorders>
            <w:shd w:val="clear" w:color="000000" w:fill="FFFFFF"/>
            <w:noWrap/>
            <w:vAlign w:val="bottom"/>
            <w:hideMark/>
          </w:tcPr>
          <w:p w:rsidR="0029370B" w:rsidRPr="0029370B" w:rsidRDefault="00277114" w:rsidP="00C5465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9370B" w:rsidRPr="0029370B">
              <w:rPr>
                <w:rFonts w:ascii="Arial" w:eastAsia="Times New Roman" w:hAnsi="Arial" w:cs="Arial"/>
                <w:sz w:val="24"/>
                <w:szCs w:val="24"/>
              </w:rPr>
              <w:t xml:space="preserve"> </w:t>
            </w:r>
            <w:r>
              <w:rPr>
                <w:rFonts w:ascii="Arial" w:eastAsia="Times New Roman" w:hAnsi="Arial" w:cs="Arial"/>
                <w:sz w:val="24"/>
                <w:szCs w:val="24"/>
              </w:rPr>
              <w:t xml:space="preserve">      </w:t>
            </w:r>
            <w:r w:rsidR="0029370B" w:rsidRPr="0029370B">
              <w:rPr>
                <w:rFonts w:ascii="Arial" w:eastAsia="Times New Roman" w:hAnsi="Arial" w:cs="Arial"/>
                <w:sz w:val="24"/>
                <w:szCs w:val="24"/>
              </w:rPr>
              <w:t>Oregon</w:t>
            </w:r>
          </w:p>
        </w:tc>
        <w:tc>
          <w:tcPr>
            <w:tcW w:w="960" w:type="dxa"/>
            <w:tcBorders>
              <w:top w:val="nil"/>
              <w:left w:val="nil"/>
              <w:bottom w:val="nil"/>
              <w:right w:val="nil"/>
            </w:tcBorders>
            <w:shd w:val="clear" w:color="000000" w:fill="FFFFFF"/>
            <w:noWrap/>
            <w:vAlign w:val="bottom"/>
          </w:tcPr>
          <w:p w:rsidR="0029370B" w:rsidRPr="0029370B" w:rsidRDefault="0029370B" w:rsidP="0029370B">
            <w:pPr>
              <w:spacing w:after="0" w:line="240" w:lineRule="auto"/>
              <w:rPr>
                <w:rFonts w:ascii="Arial" w:eastAsia="Times New Roman" w:hAnsi="Arial" w:cs="Arial"/>
                <w:color w:val="000000"/>
                <w:sz w:val="24"/>
                <w:szCs w:val="24"/>
              </w:rPr>
            </w:pPr>
          </w:p>
        </w:tc>
      </w:tr>
      <w:tr w:rsidR="0029370B" w:rsidRPr="0029370B" w:rsidTr="00C54655">
        <w:trPr>
          <w:trHeight w:val="315"/>
        </w:trPr>
        <w:tc>
          <w:tcPr>
            <w:tcW w:w="3740" w:type="dxa"/>
            <w:tcBorders>
              <w:top w:val="nil"/>
              <w:left w:val="nil"/>
              <w:bottom w:val="nil"/>
              <w:right w:val="nil"/>
            </w:tcBorders>
            <w:shd w:val="clear" w:color="000000" w:fill="FFFFFF"/>
            <w:noWrap/>
            <w:vAlign w:val="bottom"/>
            <w:hideMark/>
          </w:tcPr>
          <w:p w:rsidR="0029370B" w:rsidRPr="0029370B" w:rsidRDefault="0029370B" w:rsidP="0029370B">
            <w:pPr>
              <w:spacing w:after="0" w:line="240" w:lineRule="auto"/>
              <w:rPr>
                <w:rFonts w:ascii="Arial" w:eastAsia="Times New Roman" w:hAnsi="Arial" w:cs="Arial"/>
                <w:b/>
                <w:bCs/>
                <w:sz w:val="24"/>
                <w:szCs w:val="24"/>
              </w:rPr>
            </w:pPr>
            <w:r w:rsidRPr="0029370B">
              <w:rPr>
                <w:rFonts w:ascii="Arial" w:eastAsia="Times New Roman" w:hAnsi="Arial" w:cs="Arial"/>
                <w:b/>
                <w:bCs/>
                <w:sz w:val="24"/>
                <w:szCs w:val="24"/>
              </w:rPr>
              <w:t xml:space="preserve">Daily functioning </w:t>
            </w:r>
          </w:p>
        </w:tc>
        <w:tc>
          <w:tcPr>
            <w:tcW w:w="1840" w:type="dxa"/>
            <w:tcBorders>
              <w:top w:val="nil"/>
              <w:left w:val="nil"/>
              <w:bottom w:val="nil"/>
              <w:right w:val="nil"/>
            </w:tcBorders>
            <w:shd w:val="clear" w:color="000000" w:fill="FFFFFF"/>
            <w:noWrap/>
            <w:vAlign w:val="bottom"/>
            <w:hideMark/>
          </w:tcPr>
          <w:p w:rsidR="0029370B" w:rsidRPr="0029370B" w:rsidRDefault="00277114" w:rsidP="00C5465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C54655">
              <w:rPr>
                <w:rFonts w:ascii="Arial" w:eastAsia="Times New Roman" w:hAnsi="Arial" w:cs="Arial"/>
                <w:sz w:val="24"/>
                <w:szCs w:val="24"/>
              </w:rPr>
              <w:t>64</w:t>
            </w:r>
          </w:p>
        </w:tc>
        <w:tc>
          <w:tcPr>
            <w:tcW w:w="1520" w:type="dxa"/>
            <w:tcBorders>
              <w:top w:val="nil"/>
              <w:left w:val="nil"/>
              <w:bottom w:val="nil"/>
              <w:right w:val="nil"/>
            </w:tcBorders>
            <w:shd w:val="clear" w:color="000000" w:fill="FFFFFF"/>
            <w:noWrap/>
            <w:vAlign w:val="bottom"/>
            <w:hideMark/>
          </w:tcPr>
          <w:p w:rsidR="0029370B" w:rsidRPr="0029370B" w:rsidRDefault="00277114" w:rsidP="0027711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9370B" w:rsidRPr="0029370B">
              <w:rPr>
                <w:rFonts w:ascii="Arial" w:eastAsia="Times New Roman" w:hAnsi="Arial" w:cs="Arial"/>
                <w:sz w:val="24"/>
                <w:szCs w:val="24"/>
              </w:rPr>
              <w:t>61</w:t>
            </w:r>
          </w:p>
        </w:tc>
        <w:tc>
          <w:tcPr>
            <w:tcW w:w="960" w:type="dxa"/>
            <w:tcBorders>
              <w:top w:val="nil"/>
              <w:left w:val="nil"/>
              <w:bottom w:val="nil"/>
              <w:right w:val="nil"/>
            </w:tcBorders>
            <w:shd w:val="clear" w:color="000000" w:fill="FFFFFF"/>
            <w:noWrap/>
            <w:vAlign w:val="bottom"/>
          </w:tcPr>
          <w:p w:rsidR="0029370B" w:rsidRPr="0029370B" w:rsidRDefault="0029370B" w:rsidP="0029370B">
            <w:pPr>
              <w:spacing w:after="0" w:line="240" w:lineRule="auto"/>
              <w:jc w:val="right"/>
              <w:rPr>
                <w:rFonts w:ascii="Arial" w:eastAsia="Times New Roman" w:hAnsi="Arial" w:cs="Arial"/>
                <w:color w:val="000000"/>
                <w:sz w:val="24"/>
                <w:szCs w:val="24"/>
              </w:rPr>
            </w:pPr>
          </w:p>
        </w:tc>
      </w:tr>
      <w:tr w:rsidR="0029370B" w:rsidRPr="0029370B" w:rsidTr="00C54655">
        <w:trPr>
          <w:trHeight w:val="315"/>
        </w:trPr>
        <w:tc>
          <w:tcPr>
            <w:tcW w:w="3740" w:type="dxa"/>
            <w:tcBorders>
              <w:top w:val="nil"/>
              <w:left w:val="nil"/>
              <w:bottom w:val="nil"/>
              <w:right w:val="nil"/>
            </w:tcBorders>
            <w:shd w:val="clear" w:color="000000" w:fill="FFFFFF"/>
            <w:noWrap/>
            <w:vAlign w:val="bottom"/>
            <w:hideMark/>
          </w:tcPr>
          <w:p w:rsidR="0029370B" w:rsidRPr="0029370B" w:rsidRDefault="0029370B" w:rsidP="0029370B">
            <w:pPr>
              <w:spacing w:after="0" w:line="240" w:lineRule="auto"/>
              <w:rPr>
                <w:rFonts w:ascii="Arial" w:eastAsia="Times New Roman" w:hAnsi="Arial" w:cs="Arial"/>
                <w:b/>
                <w:bCs/>
                <w:sz w:val="24"/>
                <w:szCs w:val="24"/>
              </w:rPr>
            </w:pPr>
            <w:r w:rsidRPr="0029370B">
              <w:rPr>
                <w:rFonts w:ascii="Arial" w:eastAsia="Times New Roman" w:hAnsi="Arial" w:cs="Arial"/>
                <w:b/>
                <w:bCs/>
                <w:sz w:val="24"/>
                <w:szCs w:val="24"/>
              </w:rPr>
              <w:t>Outcomes</w:t>
            </w:r>
          </w:p>
        </w:tc>
        <w:tc>
          <w:tcPr>
            <w:tcW w:w="1840" w:type="dxa"/>
            <w:tcBorders>
              <w:top w:val="nil"/>
              <w:left w:val="nil"/>
              <w:bottom w:val="nil"/>
              <w:right w:val="nil"/>
            </w:tcBorders>
            <w:shd w:val="clear" w:color="000000" w:fill="FFFFFF"/>
            <w:noWrap/>
            <w:vAlign w:val="bottom"/>
            <w:hideMark/>
          </w:tcPr>
          <w:p w:rsidR="0029370B" w:rsidRPr="0029370B" w:rsidRDefault="00C54655" w:rsidP="00277114">
            <w:pPr>
              <w:spacing w:after="0" w:line="240" w:lineRule="auto"/>
              <w:rPr>
                <w:rFonts w:ascii="Arial" w:eastAsia="Times New Roman" w:hAnsi="Arial" w:cs="Arial"/>
                <w:sz w:val="24"/>
                <w:szCs w:val="24"/>
              </w:rPr>
            </w:pPr>
            <w:r>
              <w:rPr>
                <w:rFonts w:ascii="Arial" w:eastAsia="Times New Roman" w:hAnsi="Arial" w:cs="Arial"/>
                <w:sz w:val="24"/>
                <w:szCs w:val="24"/>
              </w:rPr>
              <w:t xml:space="preserve">     68</w:t>
            </w:r>
          </w:p>
        </w:tc>
        <w:tc>
          <w:tcPr>
            <w:tcW w:w="1520" w:type="dxa"/>
            <w:tcBorders>
              <w:top w:val="nil"/>
              <w:left w:val="nil"/>
              <w:bottom w:val="nil"/>
              <w:right w:val="nil"/>
            </w:tcBorders>
            <w:shd w:val="clear" w:color="000000" w:fill="FFFFFF"/>
            <w:noWrap/>
            <w:vAlign w:val="bottom"/>
            <w:hideMark/>
          </w:tcPr>
          <w:p w:rsidR="0029370B" w:rsidRPr="0029370B" w:rsidRDefault="00277114" w:rsidP="0027711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9370B" w:rsidRPr="0029370B">
              <w:rPr>
                <w:rFonts w:ascii="Arial" w:eastAsia="Times New Roman" w:hAnsi="Arial" w:cs="Arial"/>
                <w:sz w:val="24"/>
                <w:szCs w:val="24"/>
              </w:rPr>
              <w:t>61</w:t>
            </w:r>
          </w:p>
        </w:tc>
        <w:tc>
          <w:tcPr>
            <w:tcW w:w="960" w:type="dxa"/>
            <w:tcBorders>
              <w:top w:val="nil"/>
              <w:left w:val="nil"/>
              <w:bottom w:val="nil"/>
              <w:right w:val="nil"/>
            </w:tcBorders>
            <w:shd w:val="clear" w:color="000000" w:fill="FFFFFF"/>
            <w:noWrap/>
            <w:vAlign w:val="bottom"/>
          </w:tcPr>
          <w:p w:rsidR="0029370B" w:rsidRPr="0029370B" w:rsidRDefault="0029370B" w:rsidP="0029370B">
            <w:pPr>
              <w:spacing w:after="0" w:line="240" w:lineRule="auto"/>
              <w:jc w:val="right"/>
              <w:rPr>
                <w:rFonts w:ascii="Arial" w:eastAsia="Times New Roman" w:hAnsi="Arial" w:cs="Arial"/>
                <w:color w:val="000000"/>
                <w:sz w:val="24"/>
                <w:szCs w:val="24"/>
              </w:rPr>
            </w:pPr>
          </w:p>
        </w:tc>
      </w:tr>
      <w:tr w:rsidR="0029370B" w:rsidRPr="0029370B" w:rsidTr="00C54655">
        <w:trPr>
          <w:trHeight w:val="315"/>
        </w:trPr>
        <w:tc>
          <w:tcPr>
            <w:tcW w:w="3740" w:type="dxa"/>
            <w:tcBorders>
              <w:top w:val="nil"/>
              <w:left w:val="nil"/>
              <w:bottom w:val="nil"/>
              <w:right w:val="nil"/>
            </w:tcBorders>
            <w:shd w:val="clear" w:color="000000" w:fill="FFFFFF"/>
            <w:noWrap/>
            <w:vAlign w:val="bottom"/>
            <w:hideMark/>
          </w:tcPr>
          <w:p w:rsidR="0029370B" w:rsidRPr="0029370B" w:rsidRDefault="0029370B" w:rsidP="0029370B">
            <w:pPr>
              <w:spacing w:after="0" w:line="240" w:lineRule="auto"/>
              <w:rPr>
                <w:rFonts w:ascii="Arial" w:eastAsia="Times New Roman" w:hAnsi="Arial" w:cs="Arial"/>
                <w:b/>
                <w:bCs/>
                <w:sz w:val="24"/>
                <w:szCs w:val="24"/>
              </w:rPr>
            </w:pPr>
            <w:r w:rsidRPr="0029370B">
              <w:rPr>
                <w:rFonts w:ascii="Arial" w:eastAsia="Times New Roman" w:hAnsi="Arial" w:cs="Arial"/>
                <w:b/>
                <w:bCs/>
                <w:sz w:val="24"/>
                <w:szCs w:val="24"/>
              </w:rPr>
              <w:t xml:space="preserve">Social connectedness </w:t>
            </w:r>
          </w:p>
        </w:tc>
        <w:tc>
          <w:tcPr>
            <w:tcW w:w="1840" w:type="dxa"/>
            <w:tcBorders>
              <w:top w:val="nil"/>
              <w:left w:val="nil"/>
              <w:bottom w:val="nil"/>
              <w:right w:val="nil"/>
            </w:tcBorders>
            <w:shd w:val="clear" w:color="000000" w:fill="FFFFFF"/>
            <w:noWrap/>
            <w:vAlign w:val="bottom"/>
            <w:hideMark/>
          </w:tcPr>
          <w:p w:rsidR="0029370B" w:rsidRPr="0029370B" w:rsidRDefault="00277114" w:rsidP="0027711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D3FE4">
              <w:rPr>
                <w:rFonts w:ascii="Arial" w:eastAsia="Times New Roman" w:hAnsi="Arial" w:cs="Arial"/>
                <w:sz w:val="24"/>
                <w:szCs w:val="24"/>
              </w:rPr>
              <w:t>96</w:t>
            </w:r>
          </w:p>
        </w:tc>
        <w:tc>
          <w:tcPr>
            <w:tcW w:w="1520" w:type="dxa"/>
            <w:tcBorders>
              <w:top w:val="nil"/>
              <w:left w:val="nil"/>
              <w:bottom w:val="nil"/>
              <w:right w:val="nil"/>
            </w:tcBorders>
            <w:shd w:val="clear" w:color="000000" w:fill="FFFFFF"/>
            <w:noWrap/>
            <w:vAlign w:val="bottom"/>
            <w:hideMark/>
          </w:tcPr>
          <w:p w:rsidR="0029370B" w:rsidRPr="0029370B" w:rsidRDefault="00277114" w:rsidP="0027711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9370B" w:rsidRPr="0029370B">
              <w:rPr>
                <w:rFonts w:ascii="Arial" w:eastAsia="Times New Roman" w:hAnsi="Arial" w:cs="Arial"/>
                <w:sz w:val="24"/>
                <w:szCs w:val="24"/>
              </w:rPr>
              <w:t>87</w:t>
            </w:r>
          </w:p>
        </w:tc>
        <w:tc>
          <w:tcPr>
            <w:tcW w:w="960" w:type="dxa"/>
            <w:tcBorders>
              <w:top w:val="nil"/>
              <w:left w:val="nil"/>
              <w:bottom w:val="nil"/>
              <w:right w:val="nil"/>
            </w:tcBorders>
            <w:shd w:val="clear" w:color="000000" w:fill="FFFFFF"/>
            <w:noWrap/>
            <w:vAlign w:val="bottom"/>
          </w:tcPr>
          <w:p w:rsidR="0029370B" w:rsidRPr="0029370B" w:rsidRDefault="0029370B" w:rsidP="0029370B">
            <w:pPr>
              <w:spacing w:after="0" w:line="240" w:lineRule="auto"/>
              <w:jc w:val="right"/>
              <w:rPr>
                <w:rFonts w:ascii="Arial" w:eastAsia="Times New Roman" w:hAnsi="Arial" w:cs="Arial"/>
                <w:color w:val="000000"/>
                <w:sz w:val="24"/>
                <w:szCs w:val="24"/>
              </w:rPr>
            </w:pPr>
          </w:p>
        </w:tc>
      </w:tr>
    </w:tbl>
    <w:p w:rsidR="005D7A31" w:rsidRDefault="005D7A31" w:rsidP="005D7A31">
      <w:pPr>
        <w:spacing w:line="240" w:lineRule="auto"/>
        <w:jc w:val="center"/>
        <w:rPr>
          <w:rFonts w:ascii="Tw Cen MT" w:hAnsi="Tw Cen MT" w:cs="Arial"/>
          <w:b/>
          <w:sz w:val="24"/>
          <w:szCs w:val="24"/>
        </w:rPr>
      </w:pPr>
    </w:p>
    <w:p w:rsidR="00F97BA0" w:rsidRPr="00B7692A" w:rsidRDefault="00ED3FE4" w:rsidP="005D7A31">
      <w:pPr>
        <w:spacing w:line="240" w:lineRule="auto"/>
        <w:jc w:val="center"/>
        <w:rPr>
          <w:rFonts w:ascii="Tw Cen MT" w:hAnsi="Tw Cen MT" w:cs="Arial"/>
          <w:b/>
          <w:sz w:val="24"/>
          <w:szCs w:val="24"/>
        </w:rPr>
      </w:pPr>
      <w:r>
        <w:rPr>
          <w:rFonts w:ascii="Tw Cen MT" w:hAnsi="Tw Cen MT" w:cs="Arial"/>
          <w:b/>
          <w:sz w:val="24"/>
          <w:szCs w:val="24"/>
        </w:rPr>
        <w:t>Domain Scores Comparison</w:t>
      </w:r>
    </w:p>
    <w:p w:rsidR="00F97BA0" w:rsidRDefault="00557EA5" w:rsidP="00F97BA0">
      <w:pPr>
        <w:spacing w:line="240" w:lineRule="auto"/>
      </w:pPr>
      <w:r>
        <w:rPr>
          <w:noProof/>
          <w:lang w:eastAsia="zh-CN"/>
        </w:rPr>
        <w:drawing>
          <wp:inline distT="0" distB="0" distL="0" distR="0" wp14:anchorId="51972AF8" wp14:editId="695749CB">
            <wp:extent cx="5334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7BA0" w:rsidRPr="0080547F" w:rsidRDefault="00F97BA0" w:rsidP="00F97BA0">
      <w:pPr>
        <w:contextualSpacing/>
        <w:rPr>
          <w:rFonts w:cstheme="minorHAnsi"/>
          <w:b/>
          <w:color w:val="0000FF"/>
        </w:rPr>
      </w:pPr>
      <w:r w:rsidRPr="0080547F">
        <w:rPr>
          <w:rFonts w:cstheme="minorHAnsi"/>
          <w:b/>
          <w:color w:val="0000FF"/>
        </w:rPr>
        <w:t>Review of YSS results and End’s interpretation:</w:t>
      </w:r>
    </w:p>
    <w:p w:rsidR="009E2765" w:rsidRPr="0080547F" w:rsidRDefault="00F97BA0" w:rsidP="009E2765">
      <w:pPr>
        <w:contextualSpacing/>
        <w:rPr>
          <w:rFonts w:cstheme="minorHAnsi"/>
          <w:i/>
          <w:color w:val="0000FF"/>
        </w:rPr>
      </w:pPr>
      <w:r w:rsidRPr="0080547F">
        <w:rPr>
          <w:rFonts w:cstheme="minorHAnsi"/>
          <w:b/>
          <w:i/>
          <w:color w:val="0000FF"/>
        </w:rPr>
        <w:t>Improved functioning</w:t>
      </w:r>
      <w:r w:rsidRPr="0080547F">
        <w:rPr>
          <w:rFonts w:cstheme="minorHAnsi"/>
          <w:i/>
          <w:color w:val="0000FF"/>
        </w:rPr>
        <w:t xml:space="preserve"> means that families of children served will indicate the child has improved functioning and outcomes as indicated by a validated instrument</w:t>
      </w:r>
      <w:r w:rsidR="00F43ECB">
        <w:rPr>
          <w:rFonts w:cstheme="minorHAnsi"/>
          <w:i/>
          <w:color w:val="0000FF"/>
        </w:rPr>
        <w:t xml:space="preserve"> that includes handling of daily life, doing better in school, improved coping skills and being able participate in activities the child wishes to</w:t>
      </w:r>
      <w:r w:rsidRPr="0080547F">
        <w:rPr>
          <w:rFonts w:cstheme="minorHAnsi"/>
          <w:i/>
          <w:color w:val="0000FF"/>
        </w:rPr>
        <w:t xml:space="preserve">. </w:t>
      </w:r>
      <w:r w:rsidR="009E2765" w:rsidRPr="0080547F">
        <w:rPr>
          <w:rFonts w:cstheme="minorHAnsi"/>
          <w:b/>
          <w:i/>
          <w:color w:val="0000FF"/>
        </w:rPr>
        <w:t>Improved school performance</w:t>
      </w:r>
      <w:r w:rsidR="009E2765" w:rsidRPr="0080547F">
        <w:rPr>
          <w:rFonts w:cstheme="minorHAnsi"/>
          <w:i/>
          <w:color w:val="0000FF"/>
        </w:rPr>
        <w:t xml:space="preserve"> means that families of children served will indicate improved school performance.</w:t>
      </w:r>
    </w:p>
    <w:p w:rsidR="00F97BA0" w:rsidRDefault="009E2765" w:rsidP="00F97BA0">
      <w:pPr>
        <w:contextualSpacing/>
        <w:rPr>
          <w:rFonts w:cstheme="minorHAnsi"/>
          <w:color w:val="0000FF"/>
        </w:rPr>
      </w:pPr>
      <w:r>
        <w:rPr>
          <w:rFonts w:cstheme="minorHAnsi"/>
          <w:color w:val="0000FF"/>
        </w:rPr>
        <w:t>The</w:t>
      </w:r>
      <w:r w:rsidR="00F97BA0" w:rsidRPr="0080547F">
        <w:rPr>
          <w:rFonts w:cstheme="minorHAnsi"/>
          <w:color w:val="0000FF"/>
        </w:rPr>
        <w:t xml:space="preserve"> interpretive statement </w:t>
      </w:r>
      <w:r>
        <w:rPr>
          <w:rFonts w:cstheme="minorHAnsi"/>
          <w:color w:val="0000FF"/>
        </w:rPr>
        <w:t xml:space="preserve">on Improved functioning </w:t>
      </w:r>
      <w:r w:rsidR="00F97BA0" w:rsidRPr="0080547F">
        <w:rPr>
          <w:rFonts w:cstheme="minorHAnsi"/>
          <w:color w:val="0000FF"/>
        </w:rPr>
        <w:t xml:space="preserve">lines up with two of the YSS domains (Daily Functioning and Outcomes of Treatment), and as </w:t>
      </w:r>
      <w:r>
        <w:rPr>
          <w:rFonts w:cstheme="minorHAnsi"/>
          <w:color w:val="0000FF"/>
        </w:rPr>
        <w:t xml:space="preserve">above, </w:t>
      </w:r>
      <w:r w:rsidR="00F97BA0" w:rsidRPr="0080547F">
        <w:rPr>
          <w:rFonts w:cstheme="minorHAnsi"/>
          <w:color w:val="0000FF"/>
        </w:rPr>
        <w:t>the scores in those two domains are</w:t>
      </w:r>
      <w:r w:rsidR="000A56FD" w:rsidRPr="0080547F">
        <w:rPr>
          <w:rFonts w:cstheme="minorHAnsi"/>
          <w:color w:val="0000FF"/>
        </w:rPr>
        <w:t xml:space="preserve"> </w:t>
      </w:r>
      <w:r w:rsidR="00F97BA0" w:rsidRPr="0080547F">
        <w:rPr>
          <w:rFonts w:cstheme="minorHAnsi"/>
          <w:color w:val="0000FF"/>
        </w:rPr>
        <w:t>higher than the national baseline data</w:t>
      </w:r>
      <w:r w:rsidR="00557EA5">
        <w:rPr>
          <w:rFonts w:cstheme="minorHAnsi"/>
          <w:color w:val="0000FF"/>
        </w:rPr>
        <w:t xml:space="preserve"> with the Outcomes domain being significantly higher</w:t>
      </w:r>
      <w:r w:rsidR="00F97BA0" w:rsidRPr="0080547F">
        <w:rPr>
          <w:rFonts w:cstheme="minorHAnsi"/>
          <w:color w:val="0000FF"/>
        </w:rPr>
        <w:t xml:space="preserve">.  </w:t>
      </w:r>
      <w:r w:rsidR="002C6F54">
        <w:rPr>
          <w:rFonts w:cstheme="minorHAnsi"/>
          <w:color w:val="0000FF"/>
        </w:rPr>
        <w:t>Additionally as noted previously, the SWMBH comparison data indicates VBCMH scores are significantly higher in the Outcomes domain than the regional average. (</w:t>
      </w:r>
      <w:r w:rsidR="001F1E8B">
        <w:rPr>
          <w:rFonts w:cstheme="minorHAnsi"/>
          <w:color w:val="0000FF"/>
        </w:rPr>
        <w:t>Functioning</w:t>
      </w:r>
      <w:r w:rsidR="002C6F54">
        <w:rPr>
          <w:rFonts w:cstheme="minorHAnsi"/>
          <w:color w:val="0000FF"/>
        </w:rPr>
        <w:t xml:space="preserve"> domain scores were not calculated</w:t>
      </w:r>
      <w:r>
        <w:rPr>
          <w:rFonts w:cstheme="minorHAnsi"/>
          <w:color w:val="0000FF"/>
        </w:rPr>
        <w:t xml:space="preserve"> by SWMBH</w:t>
      </w:r>
      <w:r w:rsidR="002C6F54">
        <w:rPr>
          <w:rFonts w:cstheme="minorHAnsi"/>
          <w:color w:val="0000FF"/>
        </w:rPr>
        <w:t>.)</w:t>
      </w:r>
    </w:p>
    <w:p w:rsidR="009E2765" w:rsidRDefault="009E2765" w:rsidP="00F97BA0">
      <w:pPr>
        <w:contextualSpacing/>
        <w:rPr>
          <w:rFonts w:cstheme="minorHAnsi"/>
          <w:color w:val="0000FF"/>
        </w:rPr>
      </w:pPr>
    </w:p>
    <w:p w:rsidR="009E2765" w:rsidRDefault="009E2765" w:rsidP="009E2765">
      <w:pPr>
        <w:contextualSpacing/>
        <w:rPr>
          <w:rFonts w:cstheme="minorHAnsi"/>
          <w:color w:val="0000FF"/>
        </w:rPr>
      </w:pPr>
      <w:r>
        <w:rPr>
          <w:rFonts w:cstheme="minorHAnsi"/>
          <w:color w:val="0000FF"/>
        </w:rPr>
        <w:t xml:space="preserve">Due to the smaller sample size for families served by VBCMH in the survey conducted by SWMBH, individual question average scores should be viewed cautiously and are not reported this year as in past years. </w:t>
      </w:r>
      <w:r w:rsidRPr="0080547F">
        <w:rPr>
          <w:rFonts w:cstheme="minorHAnsi"/>
          <w:color w:val="0000FF"/>
        </w:rPr>
        <w:t xml:space="preserve">One item on the YSS inquires about the family’s perception that the child is doing better in school.  </w:t>
      </w:r>
      <w:r>
        <w:rPr>
          <w:rFonts w:cstheme="minorHAnsi"/>
          <w:color w:val="0000FF"/>
        </w:rPr>
        <w:t>A majority of families served by VBCMH and in the national baseline data ag</w:t>
      </w:r>
      <w:r w:rsidRPr="0080547F">
        <w:rPr>
          <w:rFonts w:cstheme="minorHAnsi"/>
          <w:color w:val="0000FF"/>
        </w:rPr>
        <w:t xml:space="preserve">reed or strongly agreed that </w:t>
      </w:r>
      <w:r w:rsidRPr="0080547F">
        <w:rPr>
          <w:rFonts w:cstheme="minorHAnsi"/>
          <w:color w:val="0000FF"/>
        </w:rPr>
        <w:lastRenderedPageBreak/>
        <w:t>school performance was improved</w:t>
      </w:r>
      <w:r>
        <w:rPr>
          <w:rFonts w:cstheme="minorHAnsi"/>
          <w:color w:val="0000FF"/>
        </w:rPr>
        <w:t xml:space="preserve">.  </w:t>
      </w:r>
      <w:r w:rsidR="00752AB5">
        <w:rPr>
          <w:rFonts w:cstheme="minorHAnsi"/>
          <w:color w:val="0000FF"/>
        </w:rPr>
        <w:t>Though comparing the scores this year does not tell us much in that the confidence in individual items is not high for VBCMH, the VBCMH and national score are equivalent and in the last three years, when VBCMH’s sample size was robust, VBCMH’s score was higher than the national sample.  (SWMBH does not report individual item scores.)</w:t>
      </w:r>
    </w:p>
    <w:p w:rsidR="00752AB5" w:rsidRDefault="00752AB5" w:rsidP="009C7589">
      <w:pPr>
        <w:contextualSpacing/>
        <w:rPr>
          <w:rFonts w:cstheme="minorHAnsi"/>
          <w:b/>
          <w:i/>
          <w:color w:val="0000FF"/>
        </w:rPr>
      </w:pPr>
    </w:p>
    <w:p w:rsidR="009C7589" w:rsidRDefault="009C7589" w:rsidP="009C7589">
      <w:pPr>
        <w:contextualSpacing/>
        <w:rPr>
          <w:rFonts w:cstheme="minorHAnsi"/>
          <w:i/>
          <w:color w:val="0000FF"/>
        </w:rPr>
      </w:pPr>
      <w:r w:rsidRPr="0080547F">
        <w:rPr>
          <w:rFonts w:cstheme="minorHAnsi"/>
          <w:b/>
          <w:i/>
          <w:color w:val="0000FF"/>
        </w:rPr>
        <w:t>Improved participation in their community</w:t>
      </w:r>
      <w:r w:rsidRPr="0080547F">
        <w:rPr>
          <w:rFonts w:cstheme="minorHAnsi"/>
          <w:i/>
          <w:color w:val="0000FF"/>
        </w:rPr>
        <w:t xml:space="preserve"> means that families and children served will indicate higher levels of social connection in their community.  </w:t>
      </w:r>
    </w:p>
    <w:p w:rsidR="00752AB5" w:rsidRPr="0080547F" w:rsidRDefault="00752AB5" w:rsidP="00752AB5">
      <w:pPr>
        <w:contextualSpacing/>
        <w:rPr>
          <w:rFonts w:cstheme="minorHAnsi"/>
          <w:i/>
          <w:color w:val="0000FF"/>
        </w:rPr>
      </w:pPr>
      <w:r w:rsidRPr="0080547F">
        <w:rPr>
          <w:rFonts w:cstheme="minorHAnsi"/>
          <w:b/>
          <w:i/>
          <w:color w:val="0000FF"/>
        </w:rPr>
        <w:t>Improved overall family functioning</w:t>
      </w:r>
      <w:r w:rsidRPr="0080547F">
        <w:rPr>
          <w:rFonts w:cstheme="minorHAnsi"/>
          <w:i/>
          <w:color w:val="0000FF"/>
        </w:rPr>
        <w:t xml:space="preserve"> means that families served will indicate satisfaction with family life, and having social and family supports.</w:t>
      </w:r>
    </w:p>
    <w:p w:rsidR="00F97BA0" w:rsidRPr="0079189A" w:rsidRDefault="009C7589" w:rsidP="00F97BA0">
      <w:pPr>
        <w:contextualSpacing/>
        <w:rPr>
          <w:rFonts w:cstheme="minorHAnsi"/>
          <w:color w:val="0000FF"/>
        </w:rPr>
      </w:pPr>
      <w:r w:rsidRPr="0080547F">
        <w:rPr>
          <w:rFonts w:cstheme="minorHAnsi"/>
          <w:color w:val="0000FF"/>
        </w:rPr>
        <w:t xml:space="preserve"> Families served by VBCMH and in Oregon scored high in </w:t>
      </w:r>
      <w:r w:rsidR="00752AB5">
        <w:rPr>
          <w:rFonts w:cstheme="minorHAnsi"/>
          <w:color w:val="0000FF"/>
        </w:rPr>
        <w:t>the Social C</w:t>
      </w:r>
      <w:r>
        <w:rPr>
          <w:rFonts w:cstheme="minorHAnsi"/>
          <w:color w:val="0000FF"/>
        </w:rPr>
        <w:t>onnectedness</w:t>
      </w:r>
      <w:r w:rsidRPr="0080547F">
        <w:rPr>
          <w:rFonts w:cstheme="minorHAnsi"/>
          <w:color w:val="0000FF"/>
        </w:rPr>
        <w:t xml:space="preserve"> </w:t>
      </w:r>
      <w:r w:rsidR="00752AB5">
        <w:rPr>
          <w:rFonts w:cstheme="minorHAnsi"/>
          <w:color w:val="0000FF"/>
        </w:rPr>
        <w:t xml:space="preserve">and Family Life </w:t>
      </w:r>
      <w:r w:rsidRPr="0080547F">
        <w:rPr>
          <w:rFonts w:cstheme="minorHAnsi"/>
          <w:color w:val="0000FF"/>
        </w:rPr>
        <w:t xml:space="preserve">domain. Families served by VBCMH were </w:t>
      </w:r>
      <w:r>
        <w:rPr>
          <w:rFonts w:cstheme="minorHAnsi"/>
          <w:color w:val="0000FF"/>
        </w:rPr>
        <w:t xml:space="preserve">significantly </w:t>
      </w:r>
      <w:r w:rsidRPr="0080547F">
        <w:rPr>
          <w:rFonts w:cstheme="minorHAnsi"/>
          <w:color w:val="0000FF"/>
        </w:rPr>
        <w:t xml:space="preserve">higher </w:t>
      </w:r>
      <w:r>
        <w:rPr>
          <w:rFonts w:cstheme="minorHAnsi"/>
          <w:color w:val="0000FF"/>
        </w:rPr>
        <w:t xml:space="preserve">in this domain (96% vs </w:t>
      </w:r>
      <w:r w:rsidR="00752AB5">
        <w:rPr>
          <w:rFonts w:cstheme="minorHAnsi"/>
          <w:color w:val="0000FF"/>
        </w:rPr>
        <w:t>87 %</w:t>
      </w:r>
      <w:r>
        <w:rPr>
          <w:rFonts w:cstheme="minorHAnsi"/>
          <w:color w:val="0000FF"/>
        </w:rPr>
        <w:t xml:space="preserve">.) </w:t>
      </w:r>
      <w:r w:rsidR="009E2765">
        <w:rPr>
          <w:rFonts w:cstheme="minorHAnsi"/>
          <w:color w:val="0000FF"/>
        </w:rPr>
        <w:t>These results are al</w:t>
      </w:r>
      <w:r w:rsidR="00752AB5">
        <w:rPr>
          <w:rFonts w:cstheme="minorHAnsi"/>
          <w:color w:val="0000FF"/>
        </w:rPr>
        <w:t>so</w:t>
      </w:r>
      <w:r w:rsidR="009E2765">
        <w:rPr>
          <w:rFonts w:cstheme="minorHAnsi"/>
          <w:color w:val="0000FF"/>
        </w:rPr>
        <w:t xml:space="preserve"> consistent with previous years.</w:t>
      </w:r>
      <w:r w:rsidR="00752AB5">
        <w:rPr>
          <w:rFonts w:cstheme="minorHAnsi"/>
          <w:color w:val="0000FF"/>
        </w:rPr>
        <w:t xml:space="preserve">  </w:t>
      </w:r>
      <w:r w:rsidR="00F97BA0" w:rsidRPr="0079189A">
        <w:rPr>
          <w:rFonts w:cstheme="minorHAnsi"/>
          <w:color w:val="0000FF"/>
        </w:rPr>
        <w:t>The average score for the item ask</w:t>
      </w:r>
      <w:r w:rsidR="0079189A" w:rsidRPr="0079189A">
        <w:rPr>
          <w:rFonts w:cstheme="minorHAnsi"/>
          <w:color w:val="0000FF"/>
        </w:rPr>
        <w:t>ing</w:t>
      </w:r>
      <w:r w:rsidR="00F97BA0" w:rsidRPr="0079189A">
        <w:rPr>
          <w:rFonts w:cstheme="minorHAnsi"/>
          <w:color w:val="0000FF"/>
        </w:rPr>
        <w:t xml:space="preserve"> about satisfaction with family life </w:t>
      </w:r>
      <w:r w:rsidR="00752AB5">
        <w:rPr>
          <w:rFonts w:cstheme="minorHAnsi"/>
          <w:color w:val="0000FF"/>
        </w:rPr>
        <w:t>was 20 points higher for VBCMH than for the national sample, which is consistent with previous years’ results</w:t>
      </w:r>
      <w:r w:rsidR="0079189A" w:rsidRPr="0079189A">
        <w:rPr>
          <w:rFonts w:cstheme="minorHAnsi"/>
          <w:color w:val="0000FF"/>
        </w:rPr>
        <w:t xml:space="preserve"> </w:t>
      </w:r>
      <w:r w:rsidR="0079189A">
        <w:rPr>
          <w:rFonts w:cstheme="minorHAnsi"/>
          <w:color w:val="0000FF"/>
        </w:rPr>
        <w:t>however the item on gets along better wit</w:t>
      </w:r>
      <w:r w:rsidR="00752AB5">
        <w:rPr>
          <w:rFonts w:cstheme="minorHAnsi"/>
          <w:color w:val="0000FF"/>
        </w:rPr>
        <w:t xml:space="preserve">h family is statistically equal. </w:t>
      </w:r>
      <w:r w:rsidR="0079189A">
        <w:rPr>
          <w:rFonts w:cstheme="minorHAnsi"/>
          <w:color w:val="0000FF"/>
        </w:rPr>
        <w:t xml:space="preserve">As indicated in previous </w:t>
      </w:r>
      <w:r w:rsidR="00752AB5">
        <w:rPr>
          <w:rFonts w:cstheme="minorHAnsi"/>
          <w:color w:val="0000FF"/>
        </w:rPr>
        <w:t>section</w:t>
      </w:r>
      <w:r w:rsidR="0079189A">
        <w:rPr>
          <w:rFonts w:cstheme="minorHAnsi"/>
          <w:color w:val="0000FF"/>
        </w:rPr>
        <w:t>,</w:t>
      </w:r>
      <w:r w:rsidR="00752AB5">
        <w:rPr>
          <w:rFonts w:cstheme="minorHAnsi"/>
          <w:color w:val="0000FF"/>
        </w:rPr>
        <w:t xml:space="preserve"> caution must be used when comparing individual question scores this year.  </w:t>
      </w:r>
      <w:r w:rsidR="0079189A">
        <w:rPr>
          <w:rFonts w:cstheme="minorHAnsi"/>
          <w:color w:val="0000FF"/>
        </w:rPr>
        <w:t xml:space="preserve"> </w:t>
      </w:r>
      <w:r w:rsidR="00752AB5">
        <w:rPr>
          <w:rFonts w:cstheme="minorHAnsi"/>
          <w:color w:val="0000FF"/>
        </w:rPr>
        <w:t xml:space="preserve">In general, </w:t>
      </w:r>
      <w:r w:rsidR="0079189A">
        <w:rPr>
          <w:rFonts w:cstheme="minorHAnsi"/>
          <w:color w:val="0000FF"/>
        </w:rPr>
        <w:t xml:space="preserve">VBCMH families indicate a significantly higher level of agreement with items indicating social and emotional support or </w:t>
      </w:r>
      <w:r w:rsidR="00752AB5">
        <w:rPr>
          <w:rFonts w:cstheme="minorHAnsi"/>
          <w:color w:val="0000FF"/>
        </w:rPr>
        <w:t xml:space="preserve">levels of </w:t>
      </w:r>
      <w:r w:rsidR="0079189A">
        <w:rPr>
          <w:rFonts w:cstheme="minorHAnsi"/>
          <w:color w:val="0000FF"/>
        </w:rPr>
        <w:t>social connectedness.</w:t>
      </w:r>
      <w:r w:rsidR="00F97BA0" w:rsidRPr="0079189A">
        <w:rPr>
          <w:rFonts w:cstheme="minorHAnsi"/>
          <w:color w:val="0000FF"/>
        </w:rPr>
        <w:t xml:space="preserve">  </w:t>
      </w:r>
    </w:p>
    <w:p w:rsidR="003B7D11" w:rsidRDefault="003B7D11" w:rsidP="00F97BA0">
      <w:pPr>
        <w:contextualSpacing/>
        <w:rPr>
          <w:rFonts w:cstheme="minorHAnsi"/>
          <w:b/>
          <w:color w:val="0000FF"/>
          <w:sz w:val="21"/>
          <w:szCs w:val="21"/>
        </w:rPr>
      </w:pPr>
    </w:p>
    <w:p w:rsidR="0099274E" w:rsidRPr="00277114" w:rsidRDefault="00903797" w:rsidP="0099274E">
      <w:pPr>
        <w:contextualSpacing/>
        <w:rPr>
          <w:rFonts w:cstheme="minorHAnsi"/>
          <w:b/>
          <w:color w:val="0000FF"/>
        </w:rPr>
      </w:pPr>
      <w:r w:rsidRPr="00277114">
        <w:rPr>
          <w:rFonts w:cstheme="minorHAnsi"/>
          <w:b/>
          <w:color w:val="0000FF"/>
        </w:rPr>
        <w:t>Comparison with previous year</w:t>
      </w:r>
      <w:r w:rsidR="0099274E" w:rsidRPr="00277114">
        <w:rPr>
          <w:rFonts w:cstheme="minorHAnsi"/>
          <w:b/>
          <w:color w:val="0000FF"/>
        </w:rPr>
        <w:t>s</w:t>
      </w:r>
      <w:r w:rsidRPr="00277114">
        <w:rPr>
          <w:rFonts w:cstheme="minorHAnsi"/>
          <w:b/>
          <w:color w:val="0000FF"/>
        </w:rPr>
        <w:t>’</w:t>
      </w:r>
      <w:r w:rsidR="0099274E" w:rsidRPr="00277114">
        <w:rPr>
          <w:rFonts w:cstheme="minorHAnsi"/>
          <w:b/>
          <w:color w:val="0000FF"/>
        </w:rPr>
        <w:t xml:space="preserve"> data</w:t>
      </w:r>
    </w:p>
    <w:p w:rsidR="001F1E8B" w:rsidRDefault="00277114" w:rsidP="001F1E8B">
      <w:pPr>
        <w:contextualSpacing/>
        <w:rPr>
          <w:rFonts w:cstheme="minorHAnsi"/>
          <w:color w:val="0000FF"/>
        </w:rPr>
      </w:pPr>
      <w:r w:rsidRPr="00277114">
        <w:rPr>
          <w:rFonts w:cstheme="minorHAnsi"/>
          <w:color w:val="0000FF"/>
        </w:rPr>
        <w:t xml:space="preserve">Comparing scores over the past </w:t>
      </w:r>
      <w:r w:rsidR="00684B57">
        <w:rPr>
          <w:rFonts w:cstheme="minorHAnsi"/>
          <w:color w:val="0000FF"/>
        </w:rPr>
        <w:t>seven</w:t>
      </w:r>
      <w:r w:rsidRPr="00277114">
        <w:rPr>
          <w:rFonts w:cstheme="minorHAnsi"/>
          <w:color w:val="0000FF"/>
        </w:rPr>
        <w:t xml:space="preserve"> years</w:t>
      </w:r>
      <w:r w:rsidR="00903797" w:rsidRPr="00277114">
        <w:rPr>
          <w:rFonts w:cstheme="minorHAnsi"/>
          <w:color w:val="0000FF"/>
        </w:rPr>
        <w:t xml:space="preserve"> shows the scores for VBCMH as consistentl</w:t>
      </w:r>
      <w:r w:rsidRPr="00277114">
        <w:rPr>
          <w:rFonts w:cstheme="minorHAnsi"/>
          <w:color w:val="0000FF"/>
        </w:rPr>
        <w:t>y higher than national baseline</w:t>
      </w:r>
      <w:r w:rsidR="00903797" w:rsidRPr="00277114">
        <w:rPr>
          <w:rFonts w:cstheme="minorHAnsi"/>
          <w:color w:val="0000FF"/>
        </w:rPr>
        <w:t>.</w:t>
      </w:r>
      <w:r w:rsidR="001F1E8B">
        <w:rPr>
          <w:rFonts w:cstheme="minorHAnsi"/>
          <w:color w:val="0000FF"/>
        </w:rPr>
        <w:t xml:space="preserve">  </w:t>
      </w:r>
    </w:p>
    <w:p w:rsidR="00684B57" w:rsidRDefault="00684B57" w:rsidP="001F1E8B">
      <w:pPr>
        <w:contextualSpacing/>
        <w:rPr>
          <w:rFonts w:cstheme="minorHAnsi"/>
          <w:color w:val="0000FF"/>
        </w:rPr>
      </w:pPr>
    </w:p>
    <w:p w:rsidR="00F97BA0" w:rsidRPr="00277114" w:rsidRDefault="0099274E" w:rsidP="001F1E8B">
      <w:pPr>
        <w:contextualSpacing/>
        <w:rPr>
          <w:rFonts w:cstheme="minorHAnsi"/>
          <w:color w:val="0000FF"/>
        </w:rPr>
      </w:pPr>
      <w:r w:rsidRPr="00277114">
        <w:rPr>
          <w:rFonts w:cstheme="minorHAnsi"/>
          <w:color w:val="0000FF"/>
        </w:rPr>
        <w:t xml:space="preserve">The remaining outcome data for children will be reported in </w:t>
      </w:r>
      <w:r w:rsidR="00684B57">
        <w:rPr>
          <w:rFonts w:cstheme="minorHAnsi"/>
          <w:color w:val="0000FF"/>
        </w:rPr>
        <w:t>April 2018</w:t>
      </w:r>
      <w:r w:rsidR="0036108A" w:rsidRPr="00277114">
        <w:rPr>
          <w:rFonts w:cstheme="minorHAnsi"/>
          <w:color w:val="0000FF"/>
        </w:rPr>
        <w:t xml:space="preserve"> and a Board motion will be asked for </w:t>
      </w:r>
      <w:r w:rsidR="00874F3F" w:rsidRPr="00277114">
        <w:rPr>
          <w:rFonts w:cstheme="minorHAnsi"/>
          <w:color w:val="0000FF"/>
        </w:rPr>
        <w:t>at that time</w:t>
      </w:r>
      <w:r w:rsidR="0036108A" w:rsidRPr="00277114">
        <w:rPr>
          <w:rFonts w:cstheme="minorHAnsi"/>
          <w:color w:val="0000FF"/>
        </w:rPr>
        <w:t>.</w:t>
      </w:r>
    </w:p>
    <w:sectPr w:rsidR="00F97BA0" w:rsidRPr="00277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41" w:rsidRDefault="00DE7B41" w:rsidP="005133CE">
      <w:pPr>
        <w:spacing w:after="0" w:line="240" w:lineRule="auto"/>
      </w:pPr>
      <w:r>
        <w:separator/>
      </w:r>
    </w:p>
  </w:endnote>
  <w:endnote w:type="continuationSeparator" w:id="0">
    <w:p w:rsidR="00DE7B41" w:rsidRDefault="00DE7B41" w:rsidP="0051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41" w:rsidRDefault="00DE7B41" w:rsidP="005133CE">
      <w:pPr>
        <w:spacing w:after="0" w:line="240" w:lineRule="auto"/>
      </w:pPr>
      <w:r>
        <w:separator/>
      </w:r>
    </w:p>
  </w:footnote>
  <w:footnote w:type="continuationSeparator" w:id="0">
    <w:p w:rsidR="00DE7B41" w:rsidRDefault="00DE7B41" w:rsidP="00513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148"/>
    <w:multiLevelType w:val="hybridMultilevel"/>
    <w:tmpl w:val="015EC9D2"/>
    <w:lvl w:ilvl="0" w:tplc="70A258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0"/>
    <w:rsid w:val="00064639"/>
    <w:rsid w:val="0006650E"/>
    <w:rsid w:val="000A56FD"/>
    <w:rsid w:val="000D2323"/>
    <w:rsid w:val="001636B6"/>
    <w:rsid w:val="001A4603"/>
    <w:rsid w:val="001D6EBB"/>
    <w:rsid w:val="001F1E8B"/>
    <w:rsid w:val="00214D8E"/>
    <w:rsid w:val="00277114"/>
    <w:rsid w:val="0029370B"/>
    <w:rsid w:val="002C5154"/>
    <w:rsid w:val="002C6F54"/>
    <w:rsid w:val="002D78AA"/>
    <w:rsid w:val="0036108A"/>
    <w:rsid w:val="003B7D11"/>
    <w:rsid w:val="004163D2"/>
    <w:rsid w:val="00457E95"/>
    <w:rsid w:val="004F7B68"/>
    <w:rsid w:val="005133CE"/>
    <w:rsid w:val="00557EA5"/>
    <w:rsid w:val="00582B5B"/>
    <w:rsid w:val="005D7A31"/>
    <w:rsid w:val="005E2A50"/>
    <w:rsid w:val="006055FF"/>
    <w:rsid w:val="00672AA5"/>
    <w:rsid w:val="00684B57"/>
    <w:rsid w:val="006C0BFF"/>
    <w:rsid w:val="00707B6B"/>
    <w:rsid w:val="00745503"/>
    <w:rsid w:val="00752AB5"/>
    <w:rsid w:val="0079189A"/>
    <w:rsid w:val="007C1485"/>
    <w:rsid w:val="0080547F"/>
    <w:rsid w:val="00810290"/>
    <w:rsid w:val="008733E2"/>
    <w:rsid w:val="00874F3F"/>
    <w:rsid w:val="00903797"/>
    <w:rsid w:val="0092416A"/>
    <w:rsid w:val="00930785"/>
    <w:rsid w:val="00932E97"/>
    <w:rsid w:val="00934EDE"/>
    <w:rsid w:val="009504BE"/>
    <w:rsid w:val="00951C69"/>
    <w:rsid w:val="00983FFB"/>
    <w:rsid w:val="0099274E"/>
    <w:rsid w:val="009C4E7C"/>
    <w:rsid w:val="009C7589"/>
    <w:rsid w:val="009D00DA"/>
    <w:rsid w:val="009E2765"/>
    <w:rsid w:val="00A86F4C"/>
    <w:rsid w:val="00AF7204"/>
    <w:rsid w:val="00B7692A"/>
    <w:rsid w:val="00B93A67"/>
    <w:rsid w:val="00C150CE"/>
    <w:rsid w:val="00C32E12"/>
    <w:rsid w:val="00C54655"/>
    <w:rsid w:val="00D5668C"/>
    <w:rsid w:val="00D73254"/>
    <w:rsid w:val="00D96055"/>
    <w:rsid w:val="00DE2A41"/>
    <w:rsid w:val="00DE7B41"/>
    <w:rsid w:val="00E17FD7"/>
    <w:rsid w:val="00E564BE"/>
    <w:rsid w:val="00E919DA"/>
    <w:rsid w:val="00ED3FE4"/>
    <w:rsid w:val="00EF2E40"/>
    <w:rsid w:val="00F34C6F"/>
    <w:rsid w:val="00F43ECB"/>
    <w:rsid w:val="00F707D5"/>
    <w:rsid w:val="00F97BA0"/>
    <w:rsid w:val="00FA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97BA0"/>
    <w:pPr>
      <w:keepNext/>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97BA0"/>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9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0"/>
    <w:rPr>
      <w:rFonts w:ascii="Tahoma" w:hAnsi="Tahoma" w:cs="Tahoma"/>
      <w:sz w:val="16"/>
      <w:szCs w:val="16"/>
    </w:rPr>
  </w:style>
  <w:style w:type="paragraph" w:styleId="Header">
    <w:name w:val="header"/>
    <w:basedOn w:val="Normal"/>
    <w:link w:val="HeaderChar"/>
    <w:uiPriority w:val="99"/>
    <w:unhideWhenUsed/>
    <w:rsid w:val="0051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CE"/>
  </w:style>
  <w:style w:type="paragraph" w:styleId="Footer">
    <w:name w:val="footer"/>
    <w:basedOn w:val="Normal"/>
    <w:link w:val="FooterChar"/>
    <w:uiPriority w:val="99"/>
    <w:unhideWhenUsed/>
    <w:rsid w:val="0051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CE"/>
  </w:style>
  <w:style w:type="table" w:styleId="TableGrid">
    <w:name w:val="Table Grid"/>
    <w:basedOn w:val="TableNormal"/>
    <w:uiPriority w:val="59"/>
    <w:rsid w:val="0021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97BA0"/>
    <w:pPr>
      <w:keepNext/>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97BA0"/>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9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0"/>
    <w:rPr>
      <w:rFonts w:ascii="Tahoma" w:hAnsi="Tahoma" w:cs="Tahoma"/>
      <w:sz w:val="16"/>
      <w:szCs w:val="16"/>
    </w:rPr>
  </w:style>
  <w:style w:type="paragraph" w:styleId="Header">
    <w:name w:val="header"/>
    <w:basedOn w:val="Normal"/>
    <w:link w:val="HeaderChar"/>
    <w:uiPriority w:val="99"/>
    <w:unhideWhenUsed/>
    <w:rsid w:val="0051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CE"/>
  </w:style>
  <w:style w:type="paragraph" w:styleId="Footer">
    <w:name w:val="footer"/>
    <w:basedOn w:val="Normal"/>
    <w:link w:val="FooterChar"/>
    <w:uiPriority w:val="99"/>
    <w:unhideWhenUsed/>
    <w:rsid w:val="0051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CE"/>
  </w:style>
  <w:style w:type="table" w:styleId="TableGrid">
    <w:name w:val="Table Grid"/>
    <w:basedOn w:val="TableNormal"/>
    <w:uiPriority w:val="59"/>
    <w:rsid w:val="0021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9863">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aries2\shared\Board\Board%20Packet\2018\February%202018%20MEETING\drafts\YSS%202016%20SWMBH%20data%20vs%20oreg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Sheet1!$D$2</c:f>
              <c:strCache>
                <c:ptCount val="1"/>
                <c:pt idx="0">
                  <c:v>Van Buren</c:v>
                </c:pt>
              </c:strCache>
            </c:strRef>
          </c:tx>
          <c:cat>
            <c:strRef>
              <c:f>Sheet1!$C$3:$C$5</c:f>
              <c:strCache>
                <c:ptCount val="3"/>
                <c:pt idx="0">
                  <c:v>Daily functioning </c:v>
                </c:pt>
                <c:pt idx="1">
                  <c:v>Outcomes</c:v>
                </c:pt>
                <c:pt idx="2">
                  <c:v>Social connectedness </c:v>
                </c:pt>
              </c:strCache>
            </c:strRef>
          </c:cat>
          <c:val>
            <c:numRef>
              <c:f>Sheet1!$D$3:$D$5</c:f>
              <c:numCache>
                <c:formatCode>General</c:formatCode>
                <c:ptCount val="3"/>
                <c:pt idx="0">
                  <c:v>64</c:v>
                </c:pt>
                <c:pt idx="1">
                  <c:v>68</c:v>
                </c:pt>
                <c:pt idx="2">
                  <c:v>96</c:v>
                </c:pt>
              </c:numCache>
            </c:numRef>
          </c:val>
          <c:smooth val="0"/>
        </c:ser>
        <c:ser>
          <c:idx val="1"/>
          <c:order val="1"/>
          <c:tx>
            <c:strRef>
              <c:f>Sheet1!$E$2</c:f>
              <c:strCache>
                <c:ptCount val="1"/>
                <c:pt idx="0">
                  <c:v> Oregon</c:v>
                </c:pt>
              </c:strCache>
            </c:strRef>
          </c:tx>
          <c:cat>
            <c:strRef>
              <c:f>Sheet1!$C$3:$C$5</c:f>
              <c:strCache>
                <c:ptCount val="3"/>
                <c:pt idx="0">
                  <c:v>Daily functioning </c:v>
                </c:pt>
                <c:pt idx="1">
                  <c:v>Outcomes</c:v>
                </c:pt>
                <c:pt idx="2">
                  <c:v>Social connectedness </c:v>
                </c:pt>
              </c:strCache>
            </c:strRef>
          </c:cat>
          <c:val>
            <c:numRef>
              <c:f>Sheet1!$E$3:$E$5</c:f>
              <c:numCache>
                <c:formatCode>General</c:formatCode>
                <c:ptCount val="3"/>
                <c:pt idx="0">
                  <c:v>61</c:v>
                </c:pt>
                <c:pt idx="1">
                  <c:v>61</c:v>
                </c:pt>
                <c:pt idx="2">
                  <c:v>87</c:v>
                </c:pt>
              </c:numCache>
            </c:numRef>
          </c:val>
          <c:smooth val="0"/>
        </c:ser>
        <c:dLbls>
          <c:showLegendKey val="0"/>
          <c:showVal val="0"/>
          <c:showCatName val="0"/>
          <c:showSerName val="0"/>
          <c:showPercent val="0"/>
          <c:showBubbleSize val="0"/>
        </c:dLbls>
        <c:marker val="1"/>
        <c:smooth val="0"/>
        <c:axId val="66930560"/>
        <c:axId val="66932096"/>
      </c:lineChart>
      <c:catAx>
        <c:axId val="66930560"/>
        <c:scaling>
          <c:orientation val="minMax"/>
        </c:scaling>
        <c:delete val="0"/>
        <c:axPos val="b"/>
        <c:majorTickMark val="out"/>
        <c:minorTickMark val="none"/>
        <c:tickLblPos val="nextTo"/>
        <c:crossAx val="66932096"/>
        <c:crosses val="autoZero"/>
        <c:auto val="1"/>
        <c:lblAlgn val="ctr"/>
        <c:lblOffset val="100"/>
        <c:noMultiLvlLbl val="0"/>
      </c:catAx>
      <c:valAx>
        <c:axId val="66932096"/>
        <c:scaling>
          <c:orientation val="minMax"/>
        </c:scaling>
        <c:delete val="0"/>
        <c:axPos val="l"/>
        <c:majorGridlines/>
        <c:numFmt formatCode="General" sourceLinked="1"/>
        <c:majorTickMark val="out"/>
        <c:minorTickMark val="none"/>
        <c:tickLblPos val="nextTo"/>
        <c:crossAx val="669305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EBF3-BBE2-47D9-AC2A-379B6A3D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4211508C</Template>
  <TotalTime>0</TotalTime>
  <Pages>4</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Hess</dc:creator>
  <cp:lastModifiedBy>Erin Perkins</cp:lastModifiedBy>
  <cp:revision>2</cp:revision>
  <cp:lastPrinted>2018-02-05T18:39:00Z</cp:lastPrinted>
  <dcterms:created xsi:type="dcterms:W3CDTF">2018-02-05T18:52:00Z</dcterms:created>
  <dcterms:modified xsi:type="dcterms:W3CDTF">2018-02-05T18:52:00Z</dcterms:modified>
</cp:coreProperties>
</file>